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b/>
          <w:color w:val="auto"/>
          <w:sz w:val="44"/>
          <w:szCs w:val="44"/>
          <w:highlight w:val="none"/>
          <w:shd w:val="clear" w:color="auto" w:fill="auto"/>
        </w:rPr>
      </w:pPr>
      <w:r>
        <w:rPr>
          <w:color w:val="auto"/>
          <w:sz w:val="44"/>
          <w:highlight w:val="none"/>
          <w:shd w:val="clear" w:color="auto" w:fill="auto"/>
        </w:rPr>
      </w:r>
      <w:r/>
    </w:p>
    <w:p>
      <w:pPr>
        <w:rPr>
          <w:rFonts w:hint="eastAsia" w:ascii="宋体" w:hAnsi="宋体"/>
          <w:b/>
          <w:color w:val="auto"/>
          <w:sz w:val="44"/>
          <w:szCs w:val="44"/>
          <w:highlight w:val="none"/>
          <w:shd w:val="clear" w:color="auto" w:fill="auto"/>
        </w:rPr>
      </w:pPr>
      <w:r>
        <w:rPr>
          <w:rFonts w:hint="eastAsia" w:ascii="宋体" w:hAnsi="宋体"/>
          <w:b/>
          <w:color w:val="auto"/>
          <w:sz w:val="44"/>
          <w:szCs w:val="44"/>
          <w:highlight w:val="none"/>
          <w:shd w:val="clear" w:color="auto" w:fill="auto"/>
        </w:rPr>
      </w:r>
      <w:r/>
    </w:p>
    <w:p>
      <w:pPr>
        <w:jc w:val="center"/>
        <w:rPr>
          <w:rFonts w:hint="eastAsia" w:ascii="宋体" w:hAnsi="宋体"/>
          <w:b/>
          <w:color w:val="auto"/>
          <w:sz w:val="116"/>
          <w:szCs w:val="72"/>
          <w:highlight w:val="none"/>
          <w:shd w:val="clear" w:color="auto" w:fill="auto"/>
        </w:rPr>
      </w:pPr>
      <w:r>
        <w:rPr>
          <w:rFonts w:hint="eastAsia" w:ascii="宋体" w:hAnsi="宋体"/>
          <w:b/>
          <w:color w:val="auto"/>
          <w:sz w:val="116"/>
          <w:szCs w:val="72"/>
          <w:highlight w:val="none"/>
          <w:shd w:val="clear" w:color="auto" w:fill="auto"/>
        </w:rPr>
        <w:t xml:space="preserve">竞 争 性 磋 商</w:t>
      </w:r>
      <w:r/>
    </w:p>
    <w:p>
      <w:pPr>
        <w:jc w:val="center"/>
        <w:rPr>
          <w:rFonts w:hint="eastAsia" w:ascii="宋体" w:hAnsi="宋体"/>
          <w:b/>
          <w:color w:val="auto"/>
          <w:sz w:val="144"/>
          <w:szCs w:val="72"/>
          <w:highlight w:val="none"/>
          <w:shd w:val="clear" w:color="auto" w:fill="auto"/>
        </w:rPr>
      </w:pPr>
      <w:r>
        <w:rPr>
          <w:rFonts w:hint="eastAsia" w:ascii="宋体" w:hAnsi="宋体"/>
          <w:b/>
          <w:color w:val="auto"/>
          <w:sz w:val="116"/>
          <w:szCs w:val="72"/>
          <w:highlight w:val="none"/>
          <w:shd w:val="clear" w:color="auto" w:fill="auto"/>
        </w:rPr>
        <w:t xml:space="preserve">采 购 文 件</w:t>
      </w:r>
      <w:r/>
    </w:p>
    <w:p>
      <w:pPr>
        <w:rPr>
          <w:rFonts w:hint="eastAsia" w:ascii="宋体" w:hAnsi="宋体"/>
          <w:b/>
          <w:color w:val="auto"/>
          <w:sz w:val="48"/>
          <w:szCs w:val="48"/>
          <w:highlight w:val="none"/>
          <w:shd w:val="clear" w:color="auto" w:fill="auto"/>
        </w:rPr>
      </w:pPr>
      <w:r>
        <w:rPr>
          <w:rFonts w:hint="eastAsia" w:ascii="宋体" w:hAnsi="宋体"/>
          <w:b/>
          <w:color w:val="auto"/>
          <w:sz w:val="48"/>
          <w:szCs w:val="48"/>
          <w:highlight w:val="none"/>
          <w:shd w:val="clear" w:color="auto" w:fill="auto"/>
        </w:rPr>
      </w:r>
      <w:r/>
    </w:p>
    <w:p>
      <w:pPr>
        <w:pStyle w:val="1011"/>
        <w:rPr>
          <w:rFonts w:hint="eastAsia"/>
          <w:color w:val="auto"/>
          <w:highlight w:val="none"/>
          <w:shd w:val="clear" w:color="auto" w:fill="auto"/>
        </w:rPr>
      </w:pPr>
      <w:r>
        <w:rPr>
          <w:rFonts w:hint="eastAsia"/>
          <w:color w:val="auto"/>
          <w:highlight w:val="none"/>
          <w:shd w:val="clear" w:color="auto" w:fill="auto"/>
        </w:rPr>
      </w:r>
      <w:r/>
    </w:p>
    <w:p>
      <w:pPr>
        <w:ind w:left="0" w:firstLine="2318"/>
        <w:rPr>
          <w:rFonts w:hint="eastAsia" w:ascii="宋体" w:hAnsi="宋体" w:eastAsia="宋体"/>
          <w:b/>
          <w:color w:val="auto"/>
          <w:sz w:val="28"/>
          <w:szCs w:val="28"/>
          <w:highlight w:val="none"/>
          <w:shd w:val="clear" w:color="auto" w:fill="auto"/>
          <w:lang w:eastAsia="zh-CN"/>
        </w:rPr>
      </w:pPr>
      <w:r>
        <w:rPr>
          <w:rFonts w:hint="eastAsia" w:ascii="宋体" w:hAnsi="宋体"/>
          <w:b/>
          <w:color w:val="auto"/>
          <w:sz w:val="28"/>
          <w:szCs w:val="28"/>
          <w:highlight w:val="none"/>
          <w:shd w:val="clear" w:color="auto" w:fill="auto"/>
        </w:rPr>
        <w:t xml:space="preserve">采购编号：</w:t>
      </w:r>
      <w:r>
        <w:rPr>
          <w:rFonts w:hint="eastAsia" w:ascii="宋体" w:hAnsi="宋体"/>
          <w:b/>
          <w:color w:val="auto"/>
          <w:sz w:val="28"/>
          <w:szCs w:val="28"/>
          <w:highlight w:val="none"/>
          <w:shd w:val="clear" w:color="auto" w:fill="auto"/>
          <w:lang w:eastAsia="zh-CN"/>
        </w:rPr>
        <w:t xml:space="preserve">JSZC-320500-SZYX-C2025-0083</w:t>
      </w:r>
      <w:r/>
    </w:p>
    <w:p>
      <w:pPr>
        <w:ind w:left="0" w:firstLine="2318"/>
        <w:rPr>
          <w:rFonts w:hint="eastAsia" w:ascii="宋体" w:hAnsi="宋体" w:eastAsia="宋体"/>
          <w:b/>
          <w:color w:val="auto"/>
          <w:sz w:val="28"/>
          <w:szCs w:val="28"/>
          <w:highlight w:val="none"/>
          <w:shd w:val="clear" w:color="auto" w:fill="auto"/>
          <w:lang w:eastAsia="zh-CN"/>
        </w:rPr>
      </w:pPr>
      <w:r>
        <w:rPr>
          <w:rFonts w:hint="eastAsia" w:ascii="宋体" w:hAnsi="宋体"/>
          <w:b/>
          <w:color w:val="auto"/>
          <w:sz w:val="28"/>
          <w:szCs w:val="28"/>
          <w:highlight w:val="none"/>
          <w:shd w:val="clear" w:color="auto" w:fill="auto"/>
          <w:lang w:eastAsia="zh-CN"/>
        </w:rPr>
        <w:t xml:space="preserve">采购人</w:t>
      </w:r>
      <w:r>
        <w:rPr>
          <w:rFonts w:hint="eastAsia" w:ascii="宋体" w:hAnsi="宋体"/>
          <w:b/>
          <w:color w:val="auto"/>
          <w:sz w:val="28"/>
          <w:szCs w:val="28"/>
          <w:highlight w:val="none"/>
          <w:shd w:val="clear" w:color="auto" w:fill="auto"/>
        </w:rPr>
        <w:t xml:space="preserve">：</w:t>
      </w:r>
      <w:r>
        <w:rPr>
          <w:rFonts w:hint="eastAsia" w:ascii="宋体" w:hAnsi="宋体"/>
          <w:b/>
          <w:color w:val="auto"/>
          <w:sz w:val="28"/>
          <w:szCs w:val="28"/>
          <w:highlight w:val="none"/>
          <w:shd w:val="clear" w:color="auto" w:fill="auto"/>
          <w:lang w:eastAsia="zh-CN"/>
        </w:rPr>
        <w:t xml:space="preserve">苏州市环境监测站</w:t>
      </w:r>
      <w:r/>
    </w:p>
    <w:p>
      <w:pPr>
        <w:ind w:left="0" w:firstLine="2318"/>
        <w:rPr>
          <w:rFonts w:hint="eastAsia" w:ascii="宋体" w:hAnsi="宋体"/>
          <w:b/>
          <w:color w:val="auto"/>
          <w:sz w:val="28"/>
          <w:szCs w:val="28"/>
          <w:highlight w:val="none"/>
          <w:shd w:val="clear" w:color="auto" w:fill="auto"/>
          <w:lang w:eastAsia="zh-CN"/>
        </w:rPr>
      </w:pPr>
      <w:r>
        <w:rPr>
          <w:rFonts w:hint="eastAsia" w:ascii="宋体" w:hAnsi="宋体"/>
          <w:b/>
          <w:color w:val="auto"/>
          <w:sz w:val="28"/>
          <w:szCs w:val="28"/>
          <w:highlight w:val="none"/>
          <w:shd w:val="clear" w:color="auto" w:fill="auto"/>
        </w:rPr>
        <w:t xml:space="preserve">采购内容：</w:t>
      </w:r>
      <w:r>
        <w:rPr>
          <w:rFonts w:hint="eastAsia" w:ascii="宋体" w:hAnsi="宋体"/>
          <w:b/>
          <w:color w:val="auto"/>
          <w:sz w:val="28"/>
          <w:szCs w:val="28"/>
          <w:highlight w:val="none"/>
          <w:shd w:val="clear" w:color="auto" w:fill="auto"/>
          <w:lang w:eastAsia="zh-CN"/>
        </w:rPr>
        <w:t xml:space="preserve">2026-2027年3台VOCs设备运维</w:t>
      </w:r>
      <w:r/>
    </w:p>
    <w:p>
      <w:pPr>
        <w:pStyle w:val="967"/>
        <w:rPr>
          <w:rFonts w:hint="eastAsia"/>
          <w:color w:val="auto"/>
          <w:highlight w:val="none"/>
          <w:shd w:val="clear" w:color="auto" w:fill="auto"/>
        </w:rPr>
      </w:pPr>
      <w:r>
        <w:rPr>
          <w:rFonts w:hint="eastAsia"/>
          <w:color w:val="auto"/>
          <w:highlight w:val="none"/>
          <w:shd w:val="clear" w:color="auto" w:fill="auto"/>
        </w:rPr>
      </w:r>
      <w:r/>
    </w:p>
    <w:p>
      <w:pPr>
        <w:pStyle w:val="981"/>
        <w:rPr>
          <w:rFonts w:hint="eastAsia"/>
          <w:color w:val="auto"/>
          <w:highlight w:val="none"/>
          <w:shd w:val="clear" w:color="auto" w:fill="auto"/>
        </w:rPr>
      </w:pPr>
      <w:r>
        <w:rPr>
          <w:rFonts w:hint="eastAsia"/>
          <w:color w:val="auto"/>
          <w:highlight w:val="none"/>
          <w:shd w:val="clear" w:color="auto" w:fill="auto"/>
        </w:rPr>
      </w:r>
      <w:r/>
    </w:p>
    <w:p>
      <w:pPr>
        <w:jc w:val="center"/>
        <w:rPr>
          <w:rFonts w:hint="eastAsia" w:ascii="宋体" w:hAnsi="宋体"/>
          <w:color w:val="auto"/>
          <w:sz w:val="28"/>
          <w:szCs w:val="28"/>
          <w:highlight w:val="none"/>
          <w:shd w:val="clear" w:color="auto" w:fill="auto"/>
        </w:rPr>
      </w:pPr>
      <w:r>
        <w:rPr>
          <w:rFonts w:hint="eastAsia" w:ascii="宋体" w:hAnsi="宋体" w:cs="宋体"/>
          <w:color w:val="auto"/>
          <w:highlight w:val="none"/>
          <w:shd w:val="clear" w:color="auto" w:fill="auto"/>
        </w:rPr>
        <mc:AlternateContent>
          <mc:Choice Requires="wpg">
            <w:drawing>
              <wp:inline xmlns:wp="http://schemas.openxmlformats.org/drawingml/2006/wordprocessingDrawing" distT="0" distB="0" distL="0" distR="0">
                <wp:extent cx="2009775" cy="182880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3"/>
                        <a:stretch/>
                      </pic:blipFill>
                      <pic:spPr bwMode="auto">
                        <a:xfrm>
                          <a:off x="0" y="0"/>
                          <a:ext cx="2009775" cy="1828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8.2pt;height:144.0pt;mso-wrap-distance-left:0.0pt;mso-wrap-distance-top:0.0pt;mso-wrap-distance-right:0.0pt;mso-wrap-distance-bottom:0.0pt;" stroked="f">
                <v:path textboxrect="0,0,0,0"/>
                <v:imagedata r:id="rId13" o:title=""/>
              </v:shape>
            </w:pict>
          </mc:Fallback>
        </mc:AlternateContent>
      </w:r>
      <w:r/>
    </w:p>
    <w:p>
      <w:pPr>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r>
      <w:r/>
    </w:p>
    <w:p>
      <w:pPr>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r>
      <w:r/>
    </w:p>
    <w:p>
      <w:pPr>
        <w:jc w:val="center"/>
        <w:rPr>
          <w:rFonts w:hint="eastAsia" w:ascii="宋体" w:hAnsi="宋体"/>
          <w:b/>
          <w:color w:val="auto"/>
          <w:sz w:val="32"/>
          <w:szCs w:val="28"/>
          <w:highlight w:val="none"/>
          <w:shd w:val="clear" w:color="auto" w:fill="auto"/>
        </w:rPr>
      </w:pPr>
      <w:r>
        <w:rPr>
          <w:rFonts w:hint="eastAsia" w:ascii="宋体" w:hAnsi="宋体"/>
          <w:b/>
          <w:color w:val="auto"/>
          <w:sz w:val="32"/>
          <w:szCs w:val="28"/>
          <w:highlight w:val="none"/>
          <w:shd w:val="clear" w:color="auto" w:fill="auto"/>
        </w:rPr>
      </w:r>
      <w:r/>
    </w:p>
    <w:p>
      <w:pPr>
        <w:jc w:val="center"/>
        <w:rPr>
          <w:rFonts w:hint="eastAsia" w:ascii="宋体" w:hAnsi="宋体"/>
          <w:b/>
          <w:color w:val="auto"/>
          <w:sz w:val="32"/>
          <w:szCs w:val="28"/>
          <w:highlight w:val="none"/>
          <w:shd w:val="clear" w:color="auto" w:fill="auto"/>
        </w:rPr>
      </w:pPr>
      <w:r>
        <w:rPr>
          <w:rFonts w:hint="eastAsia" w:ascii="宋体" w:hAnsi="宋体"/>
          <w:b/>
          <w:color w:val="auto"/>
          <w:sz w:val="32"/>
          <w:szCs w:val="28"/>
          <w:highlight w:val="none"/>
          <w:shd w:val="clear" w:color="auto" w:fill="auto"/>
        </w:rPr>
        <w:t xml:space="preserve">苏州市原鑫招投标咨询服务有限公司</w:t>
      </w:r>
      <w:r/>
    </w:p>
    <w:p>
      <w:pPr>
        <w:jc w:val="center"/>
        <w:rPr>
          <w:rFonts w:hint="eastAsia" w:ascii="宋体" w:hAnsi="宋体"/>
          <w:b/>
          <w:color w:val="auto"/>
          <w:sz w:val="32"/>
          <w:szCs w:val="28"/>
          <w:highlight w:val="none"/>
          <w:shd w:val="clear" w:color="auto" w:fill="auto"/>
        </w:rPr>
      </w:pPr>
      <w:r>
        <w:rPr>
          <w:rFonts w:hint="eastAsia" w:ascii="宋体" w:hAnsi="宋体"/>
          <w:b/>
          <w:color w:val="auto"/>
          <w:sz w:val="32"/>
          <w:szCs w:val="28"/>
          <w:highlight w:val="none"/>
          <w:shd w:val="clear" w:color="auto" w:fill="auto"/>
        </w:rPr>
        <w:t xml:space="preserve">二〇二</w:t>
      </w:r>
      <w:r>
        <w:rPr>
          <w:rFonts w:hint="eastAsia" w:ascii="宋体" w:hAnsi="宋体"/>
          <w:b/>
          <w:color w:val="auto"/>
          <w:sz w:val="32"/>
          <w:szCs w:val="28"/>
          <w:highlight w:val="none"/>
          <w:shd w:val="clear" w:color="auto" w:fill="auto"/>
          <w:lang w:val="en-US" w:eastAsia="zh-CN"/>
        </w:rPr>
        <w:t xml:space="preserve">五</w:t>
      </w:r>
      <w:r>
        <w:rPr>
          <w:rFonts w:hint="eastAsia" w:ascii="宋体" w:hAnsi="宋体"/>
          <w:b/>
          <w:color w:val="auto"/>
          <w:sz w:val="32"/>
          <w:szCs w:val="28"/>
          <w:highlight w:val="none"/>
          <w:shd w:val="clear" w:color="auto" w:fill="auto"/>
        </w:rPr>
        <w:t xml:space="preserve">年</w:t>
      </w:r>
      <w:r>
        <w:rPr>
          <w:rFonts w:hint="eastAsia" w:ascii="宋体" w:hAnsi="宋体"/>
          <w:b/>
          <w:color w:val="auto"/>
          <w:sz w:val="32"/>
          <w:szCs w:val="28"/>
          <w:highlight w:val="none"/>
          <w:shd w:val="clear" w:color="auto" w:fill="auto"/>
          <w:lang w:val="en-US" w:eastAsia="zh-CN"/>
        </w:rPr>
        <w:t xml:space="preserve">十二</w:t>
      </w:r>
      <w:r>
        <w:rPr>
          <w:rFonts w:hint="eastAsia" w:ascii="宋体" w:hAnsi="宋体"/>
          <w:b/>
          <w:color w:val="auto"/>
          <w:sz w:val="32"/>
          <w:szCs w:val="28"/>
          <w:highlight w:val="none"/>
          <w:shd w:val="clear" w:color="auto" w:fill="auto"/>
        </w:rPr>
        <w:t xml:space="preserve">月</w:t>
      </w:r>
      <w:r/>
    </w:p>
    <w:p>
      <w:pPr>
        <w:jc w:val="center"/>
        <w:rPr>
          <w:rFonts w:ascii="宋体" w:hAnsi="宋体"/>
          <w:b/>
          <w:color w:val="auto"/>
          <w:sz w:val="32"/>
          <w:highlight w:val="none"/>
          <w:shd w:val="clear" w:color="auto" w:fill="auto"/>
        </w:rPr>
      </w:pPr>
      <w:r>
        <w:rPr>
          <w:rFonts w:ascii="宋体" w:hAnsi="宋体"/>
          <w:b/>
          <w:color w:val="auto"/>
          <w:sz w:val="32"/>
          <w:highlight w:val="none"/>
          <w:shd w:val="clear" w:color="auto" w:fill="auto"/>
        </w:rPr>
        <w:br w:type="page" w:clear="all"/>
      </w:r>
      <w:r/>
    </w:p>
    <w:p>
      <w:pPr>
        <w:jc w:val="center"/>
        <w:rPr>
          <w:rFonts w:ascii="宋体" w:hAnsi="宋体"/>
          <w:b/>
          <w:color w:val="auto"/>
          <w:sz w:val="32"/>
          <w:highlight w:val="none"/>
          <w:shd w:val="clear" w:color="auto" w:fill="auto"/>
        </w:rPr>
      </w:pPr>
      <w:r>
        <w:rPr>
          <w:rFonts w:ascii="宋体" w:hAnsi="宋体"/>
          <w:b/>
          <w:color w:val="auto"/>
          <w:sz w:val="32"/>
          <w:highlight w:val="none"/>
          <w:shd w:val="clear" w:color="auto" w:fill="auto"/>
        </w:rPr>
      </w:r>
      <w:r/>
    </w:p>
    <w:p>
      <w:pPr>
        <w:jc w:val="center"/>
        <w:rPr>
          <w:rFonts w:ascii="宋体" w:hAnsi="宋体" w:eastAsia="宋体" w:cs="宋体"/>
          <w:b/>
          <w:color w:val="auto"/>
          <w:sz w:val="56"/>
          <w:szCs w:val="48"/>
          <w:highlight w:val="none"/>
        </w:rPr>
      </w:pPr>
      <w:r>
        <w:rPr>
          <w:rFonts w:hint="eastAsia" w:ascii="宋体" w:hAnsi="宋体" w:eastAsia="宋体" w:cs="宋体"/>
          <w:b/>
          <w:color w:val="auto"/>
          <w:sz w:val="56"/>
          <w:szCs w:val="48"/>
          <w:highlight w:val="none"/>
        </w:rPr>
        <w:t xml:space="preserve">目录</w:t>
      </w:r>
      <w:r/>
    </w:p>
    <w:p>
      <w:pPr>
        <w:ind w:firstLine="560"/>
        <w:jc w:val="both"/>
        <w:spacing w:line="720" w:lineRule="auto"/>
        <w:rPr>
          <w:rFonts w:ascii="宋体" w:hAnsi="宋体" w:eastAsia="宋体" w:cs="宋体"/>
          <w:b/>
          <w:color w:val="auto"/>
          <w:sz w:val="28"/>
          <w:szCs w:val="28"/>
          <w:highlight w:val="none"/>
          <w:lang w:val="en-US" w:eastAsia="zh-CN" w:bidi="ar-SA"/>
        </w:rPr>
      </w:pPr>
      <w:r>
        <w:rPr>
          <w:rFonts w:ascii="宋体" w:hAnsi="宋体" w:eastAsia="宋体" w:cs="宋体"/>
          <w:b/>
          <w:color w:val="auto"/>
          <w:sz w:val="28"/>
          <w:szCs w:val="28"/>
          <w:highlight w:val="none"/>
          <w:lang w:val="en-US" w:eastAsia="zh-CN" w:bidi="ar-SA"/>
        </w:rPr>
      </w:r>
      <w:r/>
    </w:p>
    <w:p>
      <w:pPr>
        <w:spacing w:line="720" w:lineRule="auto"/>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ind w:left="1056"/>
        <w:jc w:val="left"/>
        <w:spacing w:line="720" w:lineRule="auto"/>
        <w:widowControl w:val="off"/>
        <w:tabs>
          <w:tab w:val="right" w:pos="9040" w:leader="dot"/>
        </w:tabs>
        <w:rPr>
          <w:rFonts w:ascii="宋体" w:hAnsi="宋体" w:eastAsia="宋体" w:cs="宋体"/>
          <w:b/>
          <w:bCs/>
          <w:caps/>
          <w:color w:val="auto"/>
          <w:sz w:val="28"/>
          <w:szCs w:val="28"/>
          <w:highlight w:val="none"/>
          <w:lang w:val="en-US" w:eastAsia="zh-CN" w:bidi="ar-SA"/>
        </w:rPr>
      </w:pPr>
      <w:r>
        <w:rPr>
          <w:rFonts w:hint="eastAsia" w:ascii="宋体" w:hAnsi="宋体" w:eastAsia="宋体" w:cs="宋体"/>
          <w:b/>
          <w:bCs/>
          <w:caps/>
          <w:color w:val="auto"/>
          <w:sz w:val="28"/>
          <w:szCs w:val="28"/>
          <w:highlight w:val="none"/>
          <w:lang w:val="en-US" w:eastAsia="zh-CN" w:bidi="ar-SA"/>
        </w:rPr>
        <w:fldChar w:fldCharType="begin"/>
      </w:r>
      <w:r>
        <w:rPr>
          <w:rFonts w:hint="eastAsia" w:ascii="宋体" w:hAnsi="宋体" w:eastAsia="宋体" w:cs="宋体"/>
          <w:b/>
          <w:bCs/>
          <w:caps/>
          <w:color w:val="auto"/>
          <w:sz w:val="28"/>
          <w:szCs w:val="28"/>
          <w:highlight w:val="none"/>
          <w:lang w:val="en-US" w:eastAsia="zh-CN" w:bidi="ar-SA"/>
        </w:rPr>
        <w:instrText xml:space="preserve">TOC \o "1-1" \h \u </w:instrText>
      </w:r>
      <w:r>
        <w:rPr>
          <w:rFonts w:hint="eastAsia" w:ascii="宋体" w:hAnsi="宋体" w:eastAsia="宋体" w:cs="宋体"/>
          <w:b/>
          <w:bCs/>
          <w:caps/>
          <w:color w:val="auto"/>
          <w:sz w:val="28"/>
          <w:szCs w:val="28"/>
          <w:highlight w:val="none"/>
          <w:lang w:val="en-US" w:eastAsia="zh-CN" w:bidi="ar-SA"/>
        </w:rPr>
        <w:fldChar w:fldCharType="separate"/>
      </w:r>
      <w:r>
        <w:rPr>
          <w:rFonts w:ascii="黑体" w:hAnsi="Calibri" w:eastAsia="宋体" w:cs="Times New Roman"/>
          <w:b/>
          <w:bCs/>
          <w:caps/>
          <w:color w:val="auto"/>
          <w:sz w:val="24"/>
          <w:szCs w:val="30"/>
          <w:highlight w:val="none"/>
          <w:lang w:val="en-US" w:eastAsia="zh-CN" w:bidi="ar-SA"/>
        </w:rPr>
        <w:fldChar w:fldCharType="begin"/>
      </w:r>
      <w:r>
        <w:rPr>
          <w:rFonts w:ascii="黑体" w:hAnsi="Calibri" w:eastAsia="宋体" w:cs="Times New Roman"/>
          <w:b/>
          <w:bCs/>
          <w:caps/>
          <w:color w:val="auto"/>
          <w:sz w:val="24"/>
          <w:szCs w:val="30"/>
          <w:highlight w:val="none"/>
          <w:lang w:val="en-US" w:eastAsia="zh-CN" w:bidi="ar-SA"/>
        </w:rPr>
        <w:instrText xml:space="preserve"> HYPERLINK \l "_Toc30726" </w:instrText>
      </w:r>
      <w:r>
        <w:rPr>
          <w:rFonts w:ascii="黑体" w:hAnsi="Calibri" w:eastAsia="宋体" w:cs="Times New Roman"/>
          <w:b/>
          <w:bCs/>
          <w:caps/>
          <w:color w:val="auto"/>
          <w:sz w:val="24"/>
          <w:szCs w:val="30"/>
          <w:highlight w:val="none"/>
          <w:lang w:val="en-US" w:eastAsia="zh-CN" w:bidi="ar-SA"/>
        </w:rPr>
        <w:fldChar w:fldCharType="separate"/>
      </w:r>
      <w:r>
        <w:rPr>
          <w:rFonts w:hint="eastAsia" w:ascii="宋体" w:hAnsi="宋体" w:eastAsia="宋体" w:cs="宋体"/>
          <w:b/>
          <w:bCs/>
          <w:caps/>
          <w:color w:val="auto"/>
          <w:sz w:val="28"/>
          <w:szCs w:val="28"/>
          <w:highlight w:val="none"/>
          <w:lang w:val="en-US" w:eastAsia="zh-CN" w:bidi="ar-SA"/>
        </w:rPr>
        <w:t xml:space="preserve">一、竞争性磋商公告</w:t>
      </w:r>
      <w:r>
        <w:rPr>
          <w:rFonts w:hint="eastAsia" w:ascii="宋体" w:hAnsi="宋体" w:eastAsia="宋体" w:cs="宋体"/>
          <w:b/>
          <w:bCs/>
          <w:caps/>
          <w:color w:val="auto"/>
          <w:sz w:val="28"/>
          <w:szCs w:val="28"/>
          <w:highlight w:val="none"/>
          <w:lang w:val="en-US" w:eastAsia="zh-CN" w:bidi="ar-SA"/>
        </w:rPr>
        <w:fldChar w:fldCharType="end"/>
      </w:r>
      <w:r/>
    </w:p>
    <w:p>
      <w:pPr>
        <w:ind w:left="1056"/>
        <w:jc w:val="left"/>
        <w:spacing w:line="720" w:lineRule="auto"/>
        <w:widowControl w:val="off"/>
        <w:tabs>
          <w:tab w:val="right" w:pos="9040" w:leader="dot"/>
        </w:tabs>
        <w:rPr>
          <w:rFonts w:ascii="宋体" w:hAnsi="宋体" w:eastAsia="宋体" w:cs="宋体"/>
          <w:b/>
          <w:bCs/>
          <w:caps/>
          <w:color w:val="auto"/>
          <w:sz w:val="28"/>
          <w:szCs w:val="28"/>
          <w:highlight w:val="none"/>
          <w:lang w:val="en-US" w:eastAsia="zh-CN" w:bidi="ar-SA"/>
        </w:rPr>
      </w:pPr>
      <w:r>
        <w:rPr>
          <w:rFonts w:ascii="黑体" w:hAnsi="Calibri" w:eastAsia="宋体" w:cs="Times New Roman"/>
          <w:b/>
          <w:bCs/>
          <w:caps/>
          <w:color w:val="auto"/>
          <w:sz w:val="24"/>
          <w:szCs w:val="30"/>
          <w:highlight w:val="none"/>
          <w:lang w:val="en-US" w:eastAsia="zh-CN" w:bidi="ar-SA"/>
        </w:rPr>
        <w:fldChar w:fldCharType="begin"/>
      </w:r>
      <w:r>
        <w:rPr>
          <w:rFonts w:ascii="黑体" w:hAnsi="Calibri" w:eastAsia="宋体" w:cs="Times New Roman"/>
          <w:b/>
          <w:bCs/>
          <w:caps/>
          <w:color w:val="auto"/>
          <w:sz w:val="24"/>
          <w:szCs w:val="30"/>
          <w:highlight w:val="none"/>
          <w:lang w:val="en-US" w:eastAsia="zh-CN" w:bidi="ar-SA"/>
        </w:rPr>
        <w:instrText xml:space="preserve"> HYPERLINK \l "_Toc25429" </w:instrText>
      </w:r>
      <w:r>
        <w:rPr>
          <w:rFonts w:ascii="黑体" w:hAnsi="Calibri" w:eastAsia="宋体" w:cs="Times New Roman"/>
          <w:b/>
          <w:bCs/>
          <w:caps/>
          <w:color w:val="auto"/>
          <w:sz w:val="24"/>
          <w:szCs w:val="30"/>
          <w:highlight w:val="none"/>
          <w:lang w:val="en-US" w:eastAsia="zh-CN" w:bidi="ar-SA"/>
        </w:rPr>
        <w:fldChar w:fldCharType="separate"/>
      </w:r>
      <w:r>
        <w:rPr>
          <w:rFonts w:hint="eastAsia" w:ascii="宋体" w:hAnsi="宋体" w:eastAsia="宋体" w:cs="宋体"/>
          <w:b/>
          <w:bCs/>
          <w:caps/>
          <w:color w:val="auto"/>
          <w:sz w:val="28"/>
          <w:szCs w:val="28"/>
          <w:highlight w:val="none"/>
          <w:lang w:val="en-US" w:eastAsia="zh-CN" w:bidi="ar-SA"/>
        </w:rPr>
        <w:t xml:space="preserve">二、采购需求及磋商程序</w:t>
      </w:r>
      <w:r>
        <w:rPr>
          <w:rFonts w:hint="eastAsia" w:ascii="宋体" w:hAnsi="宋体" w:eastAsia="宋体" w:cs="宋体"/>
          <w:b/>
          <w:bCs/>
          <w:caps/>
          <w:color w:val="auto"/>
          <w:sz w:val="28"/>
          <w:szCs w:val="28"/>
          <w:highlight w:val="none"/>
          <w:lang w:val="en-US" w:eastAsia="zh-CN" w:bidi="ar-SA"/>
        </w:rPr>
        <w:fldChar w:fldCharType="end"/>
      </w:r>
      <w:r/>
    </w:p>
    <w:p>
      <w:pPr>
        <w:ind w:left="1056"/>
        <w:jc w:val="left"/>
        <w:spacing w:line="720" w:lineRule="auto"/>
        <w:widowControl w:val="off"/>
        <w:tabs>
          <w:tab w:val="right" w:pos="9040" w:leader="dot"/>
        </w:tabs>
        <w:rPr>
          <w:rFonts w:ascii="宋体" w:hAnsi="宋体" w:eastAsia="宋体" w:cs="宋体"/>
          <w:b/>
          <w:bCs/>
          <w:caps/>
          <w:color w:val="auto"/>
          <w:sz w:val="28"/>
          <w:szCs w:val="28"/>
          <w:highlight w:val="none"/>
          <w:lang w:val="en-US" w:eastAsia="zh-CN" w:bidi="ar-SA"/>
        </w:rPr>
      </w:pPr>
      <w:r>
        <w:rPr>
          <w:rFonts w:ascii="黑体" w:hAnsi="Calibri" w:eastAsia="宋体" w:cs="Times New Roman"/>
          <w:b/>
          <w:bCs/>
          <w:caps/>
          <w:color w:val="auto"/>
          <w:sz w:val="24"/>
          <w:szCs w:val="30"/>
          <w:highlight w:val="none"/>
          <w:lang w:val="en-US" w:eastAsia="zh-CN" w:bidi="ar-SA"/>
        </w:rPr>
        <w:fldChar w:fldCharType="begin"/>
      </w:r>
      <w:r>
        <w:rPr>
          <w:rFonts w:ascii="黑体" w:hAnsi="Calibri" w:eastAsia="宋体" w:cs="Times New Roman"/>
          <w:b/>
          <w:bCs/>
          <w:caps/>
          <w:color w:val="auto"/>
          <w:sz w:val="24"/>
          <w:szCs w:val="30"/>
          <w:highlight w:val="none"/>
          <w:lang w:val="en-US" w:eastAsia="zh-CN" w:bidi="ar-SA"/>
        </w:rPr>
        <w:instrText xml:space="preserve"> HYPERLINK \l "_Toc209" </w:instrText>
      </w:r>
      <w:r>
        <w:rPr>
          <w:rFonts w:ascii="黑体" w:hAnsi="Calibri" w:eastAsia="宋体" w:cs="Times New Roman"/>
          <w:b/>
          <w:bCs/>
          <w:caps/>
          <w:color w:val="auto"/>
          <w:sz w:val="24"/>
          <w:szCs w:val="30"/>
          <w:highlight w:val="none"/>
          <w:lang w:val="en-US" w:eastAsia="zh-CN" w:bidi="ar-SA"/>
        </w:rPr>
        <w:fldChar w:fldCharType="separate"/>
      </w:r>
      <w:r>
        <w:rPr>
          <w:rFonts w:hint="eastAsia" w:ascii="宋体" w:hAnsi="宋体" w:eastAsia="宋体" w:cs="宋体"/>
          <w:b/>
          <w:bCs/>
          <w:caps/>
          <w:color w:val="auto"/>
          <w:sz w:val="28"/>
          <w:szCs w:val="28"/>
          <w:highlight w:val="none"/>
          <w:lang w:val="en-US" w:eastAsia="zh-CN" w:bidi="ar-SA"/>
        </w:rPr>
        <w:t xml:space="preserve">三、磋商成交原则及评分标准</w:t>
      </w:r>
      <w:r>
        <w:rPr>
          <w:rFonts w:hint="eastAsia" w:ascii="宋体" w:hAnsi="宋体" w:eastAsia="宋体" w:cs="宋体"/>
          <w:b/>
          <w:bCs/>
          <w:caps/>
          <w:color w:val="auto"/>
          <w:sz w:val="28"/>
          <w:szCs w:val="28"/>
          <w:highlight w:val="none"/>
          <w:lang w:val="en-US" w:eastAsia="zh-CN" w:bidi="ar-SA"/>
        </w:rPr>
        <w:fldChar w:fldCharType="end"/>
      </w:r>
      <w:r/>
    </w:p>
    <w:p>
      <w:pPr>
        <w:ind w:left="1056"/>
        <w:jc w:val="left"/>
        <w:spacing w:line="720" w:lineRule="auto"/>
        <w:widowControl w:val="off"/>
        <w:tabs>
          <w:tab w:val="right" w:pos="9040" w:leader="dot"/>
        </w:tabs>
        <w:rPr>
          <w:rFonts w:ascii="宋体" w:hAnsi="宋体" w:eastAsia="宋体" w:cs="宋体"/>
          <w:b/>
          <w:bCs/>
          <w:caps/>
          <w:color w:val="auto"/>
          <w:sz w:val="28"/>
          <w:szCs w:val="28"/>
          <w:highlight w:val="none"/>
          <w:lang w:val="en-US" w:eastAsia="zh-CN" w:bidi="ar-SA"/>
        </w:rPr>
      </w:pPr>
      <w:r>
        <w:rPr>
          <w:rFonts w:ascii="黑体" w:hAnsi="Calibri" w:eastAsia="宋体" w:cs="Times New Roman"/>
          <w:b/>
          <w:bCs/>
          <w:caps/>
          <w:color w:val="auto"/>
          <w:sz w:val="24"/>
          <w:szCs w:val="30"/>
          <w:highlight w:val="none"/>
          <w:lang w:val="en-US" w:eastAsia="zh-CN" w:bidi="ar-SA"/>
        </w:rPr>
        <w:fldChar w:fldCharType="begin"/>
      </w:r>
      <w:r>
        <w:rPr>
          <w:rFonts w:ascii="黑体" w:hAnsi="Calibri" w:eastAsia="宋体" w:cs="Times New Roman"/>
          <w:b/>
          <w:bCs/>
          <w:caps/>
          <w:color w:val="auto"/>
          <w:sz w:val="24"/>
          <w:szCs w:val="30"/>
          <w:highlight w:val="none"/>
          <w:lang w:val="en-US" w:eastAsia="zh-CN" w:bidi="ar-SA"/>
        </w:rPr>
        <w:instrText xml:space="preserve"> HYPERLINK \l "_Toc15448" </w:instrText>
      </w:r>
      <w:r>
        <w:rPr>
          <w:rFonts w:ascii="黑体" w:hAnsi="Calibri" w:eastAsia="宋体" w:cs="Times New Roman"/>
          <w:b/>
          <w:bCs/>
          <w:caps/>
          <w:color w:val="auto"/>
          <w:sz w:val="24"/>
          <w:szCs w:val="30"/>
          <w:highlight w:val="none"/>
          <w:lang w:val="en-US" w:eastAsia="zh-CN" w:bidi="ar-SA"/>
        </w:rPr>
        <w:fldChar w:fldCharType="separate"/>
      </w:r>
      <w:r>
        <w:rPr>
          <w:rFonts w:hint="eastAsia" w:ascii="宋体" w:hAnsi="宋体" w:eastAsia="宋体" w:cs="宋体"/>
          <w:b/>
          <w:bCs/>
          <w:caps/>
          <w:color w:val="auto"/>
          <w:sz w:val="28"/>
          <w:szCs w:val="28"/>
          <w:highlight w:val="none"/>
          <w:lang w:val="en-US" w:eastAsia="zh-CN" w:bidi="ar-SA"/>
        </w:rPr>
        <w:t xml:space="preserve">四、合同主要条款</w:t>
      </w:r>
      <w:r>
        <w:rPr>
          <w:rFonts w:hint="eastAsia" w:ascii="宋体" w:hAnsi="宋体" w:eastAsia="宋体" w:cs="宋体"/>
          <w:b/>
          <w:bCs/>
          <w:caps/>
          <w:color w:val="auto"/>
          <w:sz w:val="28"/>
          <w:szCs w:val="28"/>
          <w:highlight w:val="none"/>
          <w:lang w:val="en-US" w:eastAsia="zh-CN" w:bidi="ar-SA"/>
        </w:rPr>
        <w:fldChar w:fldCharType="end"/>
      </w:r>
      <w:r/>
    </w:p>
    <w:p>
      <w:pPr>
        <w:ind w:left="1056"/>
        <w:jc w:val="left"/>
        <w:spacing w:line="720" w:lineRule="auto"/>
        <w:widowControl w:val="off"/>
        <w:tabs>
          <w:tab w:val="right" w:pos="9040" w:leader="dot"/>
        </w:tabs>
        <w:rPr>
          <w:rFonts w:ascii="宋体" w:hAnsi="宋体" w:eastAsia="宋体" w:cs="宋体"/>
          <w:b/>
          <w:bCs/>
          <w:caps/>
          <w:color w:val="auto"/>
          <w:sz w:val="28"/>
          <w:szCs w:val="28"/>
          <w:highlight w:val="none"/>
          <w:lang w:val="en-US" w:eastAsia="zh-CN" w:bidi="ar-SA"/>
        </w:rPr>
      </w:pPr>
      <w:r>
        <w:rPr>
          <w:rFonts w:ascii="黑体" w:hAnsi="Calibri" w:eastAsia="宋体" w:cs="Times New Roman"/>
          <w:b/>
          <w:bCs/>
          <w:caps/>
          <w:color w:val="auto"/>
          <w:sz w:val="24"/>
          <w:szCs w:val="30"/>
          <w:highlight w:val="none"/>
          <w:lang w:val="en-US" w:eastAsia="zh-CN" w:bidi="ar-SA"/>
        </w:rPr>
        <w:fldChar w:fldCharType="begin"/>
      </w:r>
      <w:r>
        <w:rPr>
          <w:rFonts w:ascii="黑体" w:hAnsi="Calibri" w:eastAsia="宋体" w:cs="Times New Roman"/>
          <w:b/>
          <w:bCs/>
          <w:caps/>
          <w:color w:val="auto"/>
          <w:sz w:val="24"/>
          <w:szCs w:val="30"/>
          <w:highlight w:val="none"/>
          <w:lang w:val="en-US" w:eastAsia="zh-CN" w:bidi="ar-SA"/>
        </w:rPr>
        <w:instrText xml:space="preserve"> HYPERLINK \l "_Toc30528" </w:instrText>
      </w:r>
      <w:r>
        <w:rPr>
          <w:rFonts w:ascii="黑体" w:hAnsi="Calibri" w:eastAsia="宋体" w:cs="Times New Roman"/>
          <w:b/>
          <w:bCs/>
          <w:caps/>
          <w:color w:val="auto"/>
          <w:sz w:val="24"/>
          <w:szCs w:val="30"/>
          <w:highlight w:val="none"/>
          <w:lang w:val="en-US" w:eastAsia="zh-CN" w:bidi="ar-SA"/>
        </w:rPr>
        <w:fldChar w:fldCharType="separate"/>
      </w:r>
      <w:r>
        <w:rPr>
          <w:rFonts w:hint="eastAsia" w:ascii="宋体" w:hAnsi="宋体" w:eastAsia="宋体" w:cs="宋体"/>
          <w:b/>
          <w:bCs/>
          <w:caps/>
          <w:color w:val="auto"/>
          <w:sz w:val="28"/>
          <w:szCs w:val="28"/>
          <w:highlight w:val="none"/>
          <w:lang w:val="en-US" w:eastAsia="zh-CN" w:bidi="ar-SA"/>
        </w:rPr>
        <w:t xml:space="preserve">五、附件</w:t>
      </w:r>
      <w:r>
        <w:rPr>
          <w:rFonts w:hint="eastAsia" w:ascii="宋体" w:hAnsi="宋体" w:eastAsia="宋体" w:cs="宋体"/>
          <w:b/>
          <w:bCs/>
          <w:caps/>
          <w:color w:val="auto"/>
          <w:sz w:val="28"/>
          <w:szCs w:val="28"/>
          <w:highlight w:val="none"/>
          <w:lang w:val="en-US" w:eastAsia="zh-CN" w:bidi="ar-SA"/>
        </w:rPr>
        <w:fldChar w:fldCharType="end"/>
      </w:r>
      <w:r/>
    </w:p>
    <w:p>
      <w:pPr>
        <w:ind w:left="1056"/>
        <w:spacing w:line="720" w:lineRule="auto"/>
        <w:rPr>
          <w:rFonts w:ascii="宋体" w:hAnsi="宋体" w:eastAsia="宋体" w:cs="宋体"/>
          <w:color w:val="auto"/>
          <w:highlight w:val="none"/>
        </w:rPr>
      </w:pPr>
      <w:r>
        <w:rPr>
          <w:rFonts w:hint="eastAsia" w:ascii="宋体" w:hAnsi="宋体" w:eastAsia="宋体" w:cs="宋体"/>
          <w:color w:val="auto"/>
          <w:sz w:val="28"/>
          <w:szCs w:val="28"/>
          <w:highlight w:val="none"/>
        </w:rPr>
        <w:fldChar w:fldCharType="end"/>
      </w:r>
      <w:r/>
    </w:p>
    <w:p>
      <w:pPr>
        <w:rPr>
          <w:rFonts w:ascii="宋体" w:hAnsi="宋体"/>
          <w:b/>
          <w:color w:val="auto"/>
          <w:sz w:val="32"/>
          <w:highlight w:val="none"/>
          <w:shd w:val="clear" w:color="auto" w:fill="auto"/>
        </w:rPr>
      </w:pPr>
      <w:r>
        <w:rPr>
          <w:rFonts w:ascii="宋体" w:hAnsi="宋体"/>
          <w:b/>
          <w:color w:val="auto"/>
          <w:sz w:val="32"/>
          <w:highlight w:val="none"/>
          <w:shd w:val="clear" w:color="auto" w:fill="auto"/>
        </w:rPr>
      </w:r>
      <w:r/>
    </w:p>
    <w:p>
      <w:pPr>
        <w:rPr>
          <w:rFonts w:hint="eastAsia"/>
          <w:b/>
          <w:color w:val="auto"/>
          <w:sz w:val="32"/>
          <w:szCs w:val="32"/>
          <w:highlight w:val="none"/>
          <w:shd w:val="clear" w:color="auto" w:fill="auto"/>
        </w:rPr>
      </w:pPr>
      <w:r>
        <w:rPr>
          <w:rFonts w:hint="eastAsia"/>
          <w:b/>
          <w:color w:val="auto"/>
          <w:sz w:val="32"/>
          <w:szCs w:val="32"/>
          <w:highlight w:val="none"/>
          <w:shd w:val="clear" w:color="auto" w:fill="auto"/>
        </w:rPr>
        <w:br w:type="page" w:clear="all"/>
      </w:r>
      <w:r/>
    </w:p>
    <w:p>
      <w:pPr>
        <w:jc w:val="center"/>
        <w:rPr>
          <w:b/>
          <w:color w:val="auto"/>
          <w:sz w:val="32"/>
          <w:szCs w:val="32"/>
          <w:highlight w:val="none"/>
          <w:shd w:val="clear" w:color="auto" w:fill="auto"/>
        </w:rPr>
      </w:pPr>
      <w:r>
        <w:rPr>
          <w:rFonts w:hint="eastAsia"/>
          <w:b/>
          <w:color w:val="auto"/>
          <w:sz w:val="32"/>
          <w:szCs w:val="32"/>
          <w:highlight w:val="none"/>
          <w:shd w:val="clear" w:color="auto" w:fill="auto"/>
        </w:rPr>
        <w:t xml:space="preserve">一、</w:t>
      </w:r>
      <w:r>
        <w:rPr>
          <w:rFonts w:hint="eastAsia" w:ascii="宋体" w:hAnsi="宋体"/>
          <w:b/>
          <w:color w:val="auto"/>
          <w:sz w:val="32"/>
          <w:highlight w:val="none"/>
          <w:shd w:val="clear" w:color="auto" w:fill="auto"/>
        </w:rPr>
        <w:t xml:space="preserve">竞争性磋商公告</w:t>
      </w:r>
      <w:r/>
    </w:p>
    <w:tbl>
      <w:tblPr>
        <w:tblStyle w:val="955"/>
        <w:tblW w:w="9889" w:type="dxa"/>
        <w:jc w:val="center"/>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9889"/>
      </w:tblGrid>
      <w:tr>
        <w:trPr>
          <w:jc w:val="cente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889" w:type="dxa"/>
            <w:textDirection w:val="lrTb"/>
            <w:noWrap w:val="false"/>
          </w:tcPr>
          <w:p>
            <w:pPr>
              <w:ind w:firstLine="420"/>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项目概况：</w:t>
            </w:r>
            <w:r/>
          </w:p>
          <w:p>
            <w:pPr>
              <w:ind w:firstLine="420"/>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u w:val="single"/>
                <w:shd w:val="clear" w:color="auto" w:fill="auto"/>
                <w:lang w:eastAsia="zh-CN"/>
              </w:rPr>
              <w:t xml:space="preserve">2026-2027年3台VOCs设备运维</w:t>
            </w:r>
            <w:r>
              <w:rPr>
                <w:rFonts w:hint="eastAsia" w:ascii="宋体" w:hAnsi="宋体" w:cs="宋体"/>
                <w:color w:val="auto"/>
                <w:szCs w:val="21"/>
                <w:highlight w:val="none"/>
                <w:shd w:val="clear" w:color="auto" w:fill="auto"/>
              </w:rPr>
              <w:t xml:space="preserve">的潜在供应商应在</w:t>
            </w:r>
            <w:r>
              <w:rPr>
                <w:rFonts w:hint="eastAsia" w:ascii="宋体" w:hAnsi="宋体" w:cs="宋体"/>
                <w:color w:val="auto"/>
                <w:szCs w:val="21"/>
                <w:highlight w:val="none"/>
                <w:u w:val="single"/>
                <w:shd w:val="clear" w:color="auto" w:fill="auto"/>
              </w:rPr>
              <w:t xml:space="preserve">江苏省政府采购一体化平台“苏采云”系统</w:t>
            </w:r>
            <w:r>
              <w:rPr>
                <w:rFonts w:hint="eastAsia" w:ascii="宋体" w:hAnsi="宋体" w:cs="宋体"/>
                <w:color w:val="auto"/>
                <w:szCs w:val="21"/>
                <w:highlight w:val="none"/>
                <w:shd w:val="clear" w:color="auto" w:fill="auto"/>
              </w:rPr>
              <w:t xml:space="preserve">获取采购文件，并于</w:t>
            </w:r>
            <w:r>
              <w:rPr>
                <w:rFonts w:hint="eastAsia" w:ascii="宋体" w:hAnsi="宋体" w:cs="宋体"/>
                <w:color w:val="auto"/>
                <w:szCs w:val="21"/>
                <w:highlight w:val="none"/>
                <w:u w:val="single"/>
                <w:shd w:val="clear" w:color="auto" w:fill="auto"/>
                <w:lang w:eastAsia="zh-CN"/>
              </w:rPr>
              <w:t xml:space="preserve">202</w:t>
            </w:r>
            <w:r>
              <w:rPr>
                <w:rFonts w:hint="eastAsia" w:ascii="宋体" w:hAnsi="宋体" w:cs="宋体"/>
                <w:color w:val="auto"/>
                <w:szCs w:val="21"/>
                <w:highlight w:val="none"/>
                <w:u w:val="single"/>
                <w:shd w:val="clear" w:color="auto" w:fill="auto"/>
                <w:lang w:val="en-US" w:eastAsia="zh-CN"/>
              </w:rPr>
              <w:t xml:space="preserve">6</w:t>
            </w:r>
            <w:r>
              <w:rPr>
                <w:rFonts w:hint="eastAsia" w:ascii="宋体" w:hAnsi="宋体" w:cs="宋体"/>
                <w:color w:val="auto"/>
                <w:szCs w:val="21"/>
                <w:highlight w:val="none"/>
                <w:u w:val="single"/>
                <w:shd w:val="clear" w:color="auto" w:fill="auto"/>
                <w:lang w:eastAsia="zh-CN"/>
              </w:rPr>
              <w:t xml:space="preserve">年</w:t>
            </w:r>
            <w:r>
              <w:rPr>
                <w:rFonts w:hint="eastAsia" w:ascii="宋体" w:hAnsi="宋体" w:cs="宋体"/>
                <w:color w:val="auto"/>
                <w:szCs w:val="21"/>
                <w:highlight w:val="none"/>
                <w:u w:val="single"/>
                <w:shd w:val="clear" w:color="auto" w:fill="auto"/>
                <w:lang w:val="en-US" w:eastAsia="zh-CN"/>
              </w:rPr>
              <w:t xml:space="preserve">1</w:t>
            </w:r>
            <w:r>
              <w:rPr>
                <w:rFonts w:hint="eastAsia" w:ascii="宋体" w:hAnsi="宋体" w:cs="宋体"/>
                <w:color w:val="auto"/>
                <w:szCs w:val="21"/>
                <w:highlight w:val="none"/>
                <w:u w:val="single"/>
                <w:shd w:val="clear" w:color="auto" w:fill="auto"/>
                <w:lang w:eastAsia="zh-CN"/>
              </w:rPr>
              <w:t xml:space="preserve">月</w:t>
            </w:r>
            <w:r>
              <w:rPr>
                <w:rFonts w:hint="eastAsia" w:ascii="宋体" w:hAnsi="宋体" w:cs="宋体"/>
                <w:color w:val="auto"/>
                <w:szCs w:val="21"/>
                <w:highlight w:val="none"/>
                <w:u w:val="single"/>
                <w:shd w:val="clear" w:color="auto" w:fill="auto"/>
                <w:lang w:val="en-US" w:eastAsia="zh-CN"/>
              </w:rPr>
              <w:t xml:space="preserve">5</w:t>
            </w:r>
            <w:r>
              <w:rPr>
                <w:rFonts w:hint="eastAsia" w:ascii="宋体" w:hAnsi="宋体" w:cs="宋体"/>
                <w:color w:val="auto"/>
                <w:szCs w:val="21"/>
                <w:highlight w:val="none"/>
                <w:u w:val="single"/>
                <w:shd w:val="clear" w:color="auto" w:fill="auto"/>
                <w:lang w:eastAsia="zh-CN"/>
              </w:rPr>
              <w:t xml:space="preserve">日</w:t>
            </w:r>
            <w:r>
              <w:rPr>
                <w:rFonts w:hint="eastAsia" w:ascii="宋体" w:hAnsi="宋体" w:cs="宋体"/>
                <w:color w:val="auto"/>
                <w:szCs w:val="21"/>
                <w:highlight w:val="none"/>
                <w:u w:val="single"/>
                <w:shd w:val="clear" w:color="auto" w:fill="auto"/>
                <w:lang w:val="en-US" w:eastAsia="zh-CN"/>
              </w:rPr>
              <w:t xml:space="preserve">13</w:t>
            </w:r>
            <w:r>
              <w:rPr>
                <w:rFonts w:hint="eastAsia" w:ascii="宋体" w:hAnsi="宋体" w:cs="宋体"/>
                <w:color w:val="auto"/>
                <w:szCs w:val="21"/>
                <w:highlight w:val="none"/>
                <w:u w:val="single"/>
                <w:shd w:val="clear" w:color="auto" w:fill="auto"/>
                <w:lang w:eastAsia="zh-CN"/>
              </w:rPr>
              <w:t xml:space="preserve">：30</w:t>
            </w:r>
            <w:r>
              <w:rPr>
                <w:rFonts w:hint="eastAsia" w:ascii="宋体" w:hAnsi="宋体" w:cs="宋体"/>
                <w:bCs/>
                <w:color w:val="auto"/>
                <w:szCs w:val="21"/>
                <w:highlight w:val="none"/>
                <w:shd w:val="clear" w:color="auto" w:fill="auto"/>
              </w:rPr>
              <w:t xml:space="preserve">（北京时间）前提交响应文件</w:t>
            </w:r>
            <w:r>
              <w:rPr>
                <w:rFonts w:hint="eastAsia" w:ascii="宋体" w:hAnsi="宋体" w:cs="宋体"/>
                <w:color w:val="auto"/>
                <w:szCs w:val="21"/>
                <w:highlight w:val="none"/>
                <w:shd w:val="clear" w:color="auto" w:fill="auto"/>
              </w:rPr>
              <w:t xml:space="preserve">。</w:t>
            </w:r>
            <w:r/>
          </w:p>
        </w:tc>
      </w:tr>
    </w:tbl>
    <w:p>
      <w:pPr>
        <w:numPr>
          <w:ilvl w:val="0"/>
          <w:numId w:val="5"/>
        </w:numPr>
        <w:jc w:val="left"/>
        <w:spacing w:line="400" w:lineRule="exact"/>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项目基本情况</w:t>
      </w:r>
      <w:r/>
    </w:p>
    <w:p>
      <w:pPr>
        <w:numPr>
          <w:ilvl w:val="0"/>
          <w:numId w:val="6"/>
        </w:numPr>
        <w:jc w:val="left"/>
        <w:spacing w:line="400" w:lineRule="exact"/>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项目编号：</w:t>
      </w:r>
      <w:r>
        <w:rPr>
          <w:rFonts w:hint="eastAsia" w:ascii="宋体" w:hAnsi="宋体" w:cs="宋体"/>
          <w:color w:val="auto"/>
          <w:szCs w:val="21"/>
          <w:highlight w:val="none"/>
          <w:shd w:val="clear" w:color="auto" w:fill="auto"/>
          <w:lang w:eastAsia="zh-CN"/>
        </w:rPr>
        <w:t xml:space="preserve">JSZC-320500-SZYX-C2025-0083</w:t>
      </w:r>
      <w:r/>
    </w:p>
    <w:p>
      <w:pPr>
        <w:numPr>
          <w:ilvl w:val="0"/>
          <w:numId w:val="6"/>
        </w:numPr>
        <w:jc w:val="left"/>
        <w:spacing w:line="400" w:lineRule="exact"/>
        <w:widowControl/>
        <w:rPr>
          <w:rFonts w:hint="eastAsia" w:ascii="宋体" w:hAnsi="宋体" w:eastAsia="宋体" w:cs="宋体"/>
          <w:color w:val="auto"/>
          <w:szCs w:val="21"/>
          <w:highlight w:val="none"/>
          <w:shd w:val="clear" w:color="auto" w:fill="auto"/>
        </w:rPr>
      </w:pPr>
      <w:r/>
      <w:bookmarkStart w:id="0" w:name="OLE_LINK1"/>
      <w:r>
        <w:rPr>
          <w:rFonts w:hint="eastAsia" w:ascii="宋体" w:hAnsi="宋体" w:eastAsia="宋体" w:cs="宋体"/>
          <w:color w:val="auto"/>
          <w:sz w:val="21"/>
          <w:szCs w:val="21"/>
          <w:highlight w:val="none"/>
          <w:shd w:val="clear" w:color="auto" w:fill="auto"/>
        </w:rPr>
        <w:t xml:space="preserve">项目名称：</w:t>
      </w:r>
      <w:r>
        <w:rPr>
          <w:rFonts w:hint="eastAsia" w:ascii="宋体" w:hAnsi="宋体" w:cs="宋体"/>
          <w:color w:val="auto"/>
          <w:sz w:val="21"/>
          <w:szCs w:val="21"/>
          <w:highlight w:val="none"/>
          <w:shd w:val="clear" w:color="auto" w:fill="auto"/>
          <w:lang w:eastAsia="zh-CN"/>
        </w:rPr>
        <w:t xml:space="preserve">2026-2027年3台VOCs设备运维</w:t>
      </w:r>
      <w:r/>
    </w:p>
    <w:p>
      <w:pPr>
        <w:numPr>
          <w:ilvl w:val="0"/>
          <w:numId w:val="6"/>
        </w:numPr>
        <w:jc w:val="left"/>
        <w:spacing w:line="400" w:lineRule="exact"/>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采购方式：竞争性磋商</w:t>
      </w:r>
      <w:r/>
    </w:p>
    <w:p>
      <w:pPr>
        <w:numPr>
          <w:ilvl w:val="0"/>
          <w:numId w:val="6"/>
        </w:numPr>
        <w:jc w:val="left"/>
        <w:spacing w:line="400" w:lineRule="exact"/>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预算金额：</w:t>
      </w:r>
      <w:bookmarkStart w:id="1" w:name="_Hlk165988500"/>
      <w:r>
        <w:rPr>
          <w:rFonts w:hint="eastAsia" w:ascii="宋体" w:hAnsi="宋体" w:cs="宋体"/>
          <w:color w:val="auto"/>
          <w:sz w:val="21"/>
          <w:szCs w:val="21"/>
          <w:highlight w:val="none"/>
          <w:shd w:val="clear" w:color="auto" w:fill="auto"/>
          <w:lang w:eastAsia="zh-CN"/>
        </w:rPr>
        <w:t xml:space="preserve">人民币捌拾陆万元整（￥860000.00）</w:t>
      </w:r>
      <w:bookmarkEnd w:id="1"/>
      <w:r/>
      <w:r/>
    </w:p>
    <w:p>
      <w:pPr>
        <w:numPr>
          <w:ilvl w:val="0"/>
          <w:numId w:val="6"/>
        </w:numPr>
        <w:jc w:val="left"/>
        <w:spacing w:line="400" w:lineRule="exact"/>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最高</w:t>
      </w:r>
      <w:r>
        <w:rPr>
          <w:rFonts w:hint="eastAsia" w:ascii="宋体" w:hAnsi="宋体" w:eastAsia="宋体" w:cs="宋体"/>
          <w:color w:val="auto"/>
          <w:szCs w:val="21"/>
          <w:highlight w:val="none"/>
          <w:shd w:val="clear" w:color="auto" w:fill="auto"/>
        </w:rPr>
        <w:t xml:space="preserve">限价：</w:t>
      </w:r>
      <w:r>
        <w:rPr>
          <w:rFonts w:hint="eastAsia" w:ascii="宋体" w:hAnsi="宋体" w:cs="宋体"/>
          <w:color w:val="auto"/>
          <w:szCs w:val="21"/>
          <w:highlight w:val="none"/>
          <w:shd w:val="clear" w:color="auto" w:fill="auto"/>
          <w:lang w:eastAsia="zh-CN"/>
        </w:rPr>
        <w:t xml:space="preserve">人民币捌拾陆万元整（￥860000.00）</w:t>
      </w:r>
      <w:bookmarkEnd w:id="0"/>
      <w:r/>
      <w:r/>
    </w:p>
    <w:p>
      <w:pPr>
        <w:numPr>
          <w:ilvl w:val="0"/>
          <w:numId w:val="6"/>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采购需求：</w:t>
      </w:r>
      <w:r/>
    </w:p>
    <w:p>
      <w:pPr>
        <w:numPr>
          <w:ilvl w:val="0"/>
          <w:numId w:val="7"/>
        </w:numPr>
        <w:spacing w:line="400" w:lineRule="exact"/>
        <w:rPr>
          <w:rFonts w:hint="eastAsia" w:ascii="宋体" w:hAnsi="宋体" w:cs="宋体"/>
          <w:color w:val="auto"/>
          <w:szCs w:val="21"/>
          <w:highlight w:val="none"/>
          <w:shd w:val="clear" w:color="auto" w:fill="auto"/>
        </w:rPr>
      </w:pPr>
      <w:r/>
      <w:bookmarkStart w:id="2" w:name="OLE_LINK2"/>
      <w:r>
        <w:rPr>
          <w:rFonts w:hint="eastAsia" w:ascii="宋体" w:hAnsi="宋体" w:cs="宋体"/>
          <w:color w:val="auto"/>
          <w:szCs w:val="21"/>
          <w:highlight w:val="none"/>
          <w:shd w:val="clear" w:color="auto" w:fill="auto"/>
        </w:rPr>
        <w:t xml:space="preserve">服务内容：</w:t>
      </w:r>
      <w:bookmarkStart w:id="3" w:name="OLE_LINK4"/>
      <w:r/>
      <w:bookmarkStart w:id="4" w:name="OLE_LINK18"/>
      <w:r>
        <w:rPr>
          <w:rFonts w:hint="eastAsia" w:ascii="宋体" w:hAnsi="宋体" w:cs="宋体"/>
          <w:color w:val="auto"/>
          <w:szCs w:val="21"/>
          <w:highlight w:val="none"/>
          <w:shd w:val="clear" w:color="auto" w:fill="auto"/>
        </w:rPr>
        <w:t xml:space="preserve">本项目</w:t>
      </w:r>
      <w:r>
        <w:rPr>
          <w:rFonts w:hint="eastAsia" w:ascii="宋体" w:hAnsi="宋体" w:cs="宋体"/>
          <w:color w:val="auto"/>
          <w:szCs w:val="21"/>
          <w:highlight w:val="none"/>
          <w:shd w:val="clear" w:color="auto" w:fill="auto"/>
          <w:lang w:val="en-US" w:eastAsia="zh-CN"/>
        </w:rPr>
        <w:t xml:space="preserve">要求供应商</w:t>
      </w:r>
      <w:r>
        <w:rPr>
          <w:rFonts w:hint="eastAsia" w:ascii="宋体" w:hAnsi="宋体" w:cs="宋体"/>
          <w:color w:val="auto"/>
          <w:szCs w:val="21"/>
          <w:highlight w:val="none"/>
          <w:shd w:val="clear" w:color="auto" w:fill="auto"/>
        </w:rPr>
        <w:t xml:space="preserve">在合同期内，对站房内所有的相关设备进行系统的年度维护保养和预防性维护工作。在此期间，需提供监测系统正常运行所需备品备件、耗材、标准物质等以及日常运行维护、仪器性能检验及校准、仪器维修等保证系统正常运行所需服务，包括用电费用及网络通讯费用。</w:t>
      </w:r>
      <w:r>
        <w:rPr>
          <w:rFonts w:hint="eastAsia" w:ascii="宋体" w:hAnsi="宋体" w:cs="宋体"/>
          <w:color w:val="auto"/>
          <w:szCs w:val="21"/>
          <w:highlight w:val="none"/>
          <w:shd w:val="clear" w:color="auto" w:fill="auto"/>
          <w:lang w:val="en-US" w:eastAsia="zh-CN"/>
        </w:rPr>
        <w:t xml:space="preserve">供应商</w:t>
      </w:r>
      <w:r>
        <w:rPr>
          <w:rFonts w:hint="eastAsia" w:ascii="宋体" w:hAnsi="宋体" w:cs="宋体"/>
          <w:color w:val="auto"/>
          <w:szCs w:val="21"/>
          <w:highlight w:val="none"/>
          <w:shd w:val="clear" w:color="auto" w:fill="auto"/>
        </w:rPr>
        <w:t xml:space="preserve">需确保监测系统的正常运行，确保可以向采购</w:t>
      </w:r>
      <w:r>
        <w:rPr>
          <w:rFonts w:hint="eastAsia" w:ascii="宋体" w:hAnsi="宋体" w:cs="宋体"/>
          <w:color w:val="auto"/>
          <w:szCs w:val="21"/>
          <w:highlight w:val="none"/>
          <w:shd w:val="clear" w:color="auto" w:fill="auto"/>
          <w:lang w:eastAsia="zh-CN"/>
        </w:rPr>
        <w:t xml:space="preserve">人</w:t>
      </w:r>
      <w:r>
        <w:rPr>
          <w:rFonts w:hint="eastAsia" w:ascii="宋体" w:hAnsi="宋体" w:cs="宋体"/>
          <w:color w:val="auto"/>
          <w:szCs w:val="21"/>
          <w:highlight w:val="none"/>
          <w:shd w:val="clear" w:color="auto" w:fill="auto"/>
        </w:rPr>
        <w:t xml:space="preserve">提供准确、可靠的监测数据</w:t>
      </w:r>
      <w:r>
        <w:rPr>
          <w:rFonts w:hint="eastAsia" w:ascii="宋体" w:hAnsi="宋体" w:cs="宋体"/>
          <w:color w:val="auto"/>
          <w:szCs w:val="21"/>
          <w:highlight w:val="none"/>
        </w:rPr>
        <w:t xml:space="preserve">。</w:t>
      </w:r>
      <w:bookmarkEnd w:id="3"/>
      <w:r/>
      <w:bookmarkEnd w:id="4"/>
      <w:r/>
      <w:r/>
    </w:p>
    <w:p>
      <w:pPr>
        <w:numPr>
          <w:ilvl w:val="0"/>
          <w:numId w:val="8"/>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pPr>
      <w:r>
        <w:rPr>
          <w:rFonts w:hint="eastAsia" w:ascii="宋体" w:hAnsi="宋体" w:cs="宋体"/>
          <w:color w:val="auto"/>
          <w:highlight w:val="none"/>
          <w:shd w:val="clear" w:color="auto" w:fill="auto"/>
        </w:rPr>
        <w:t xml:space="preserve">合同</w:t>
      </w:r>
      <w:r>
        <w:rPr>
          <w:rFonts w:hint="eastAsia" w:ascii="宋体" w:hAnsi="宋体" w:cs="宋体"/>
          <w:color w:val="auto"/>
          <w:highlight w:val="none"/>
          <w:shd w:val="clear" w:color="auto" w:fill="auto"/>
          <w:lang w:val="en-US" w:eastAsia="zh-CN"/>
        </w:rPr>
        <w:t xml:space="preserve">履行</w:t>
      </w:r>
      <w:r>
        <w:rPr>
          <w:rFonts w:hint="eastAsia" w:ascii="宋体" w:hAnsi="宋体" w:cs="宋体"/>
          <w:color w:val="auto"/>
          <w:highlight w:val="none"/>
          <w:shd w:val="clear" w:color="auto" w:fill="auto"/>
        </w:rPr>
        <w:t xml:space="preserve">期限：</w:t>
      </w:r>
      <w:r>
        <w:rPr>
          <w:rFonts w:hint="eastAsia" w:ascii="宋体" w:hAnsi="宋体" w:cs="宋体"/>
          <w:color w:val="auto"/>
          <w:highlight w:val="none"/>
          <w:shd w:val="clear" w:color="auto" w:fill="auto"/>
          <w:lang w:val="en-US" w:eastAsia="zh-CN"/>
        </w:rPr>
        <w:t xml:space="preserve">12个月（具体起止时间以采购人通知为准）</w:t>
      </w:r>
      <w:r>
        <w:rPr>
          <w:rFonts w:hint="eastAsia" w:ascii="宋体" w:hAnsi="宋体" w:cs="宋体"/>
          <w:color w:val="auto"/>
          <w:highlight w:val="none"/>
          <w:shd w:val="clear" w:color="auto" w:fill="auto"/>
        </w:rPr>
        <w:t xml:space="preserve">。</w:t>
      </w:r>
      <w:bookmarkEnd w:id="2"/>
      <w:r/>
      <w:r/>
    </w:p>
    <w:p>
      <w:pPr>
        <w:numPr>
          <w:ilvl w:val="0"/>
          <w:numId w:val="6"/>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本</w:t>
      </w:r>
      <w:r>
        <w:rPr>
          <w:rFonts w:hint="eastAsia" w:ascii="宋体" w:hAnsi="宋体" w:cs="宋体"/>
          <w:color w:val="auto"/>
          <w:szCs w:val="21"/>
          <w:highlight w:val="none"/>
          <w:shd w:val="clear" w:color="auto" w:fill="auto"/>
        </w:rPr>
        <w:t xml:space="preserve">项目</w:t>
      </w:r>
      <w:r>
        <w:rPr>
          <w:rFonts w:hint="eastAsia" w:ascii="宋体" w:hAnsi="宋体" w:cs="宋体"/>
          <w:color w:val="auto"/>
          <w:szCs w:val="21"/>
          <w:highlight w:val="none"/>
          <w:shd w:val="clear" w:color="auto" w:fill="auto"/>
        </w:rPr>
        <w:t xml:space="preserve">不接受联合体投标。</w:t>
      </w:r>
      <w:r/>
    </w:p>
    <w:p>
      <w:pPr>
        <w:numPr>
          <w:ilvl w:val="0"/>
          <w:numId w:val="5"/>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申请人的资格要求：</w:t>
      </w:r>
      <w:r/>
    </w:p>
    <w:p>
      <w:pPr>
        <w:numPr>
          <w:ilvl w:val="0"/>
          <w:numId w:val="9"/>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满足《中华人民共和国政府采购法》第二十二条规定；</w:t>
      </w:r>
      <w:r/>
    </w:p>
    <w:p>
      <w:pPr>
        <w:numPr>
          <w:ilvl w:val="0"/>
          <w:numId w:val="10"/>
        </w:numPr>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具有独立承担民事责任的能力；</w:t>
      </w:r>
      <w:r/>
    </w:p>
    <w:p>
      <w:pPr>
        <w:numPr>
          <w:ilvl w:val="0"/>
          <w:numId w:val="10"/>
        </w:numPr>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具有良好的商业信誉和健全的财务会计制度；</w:t>
      </w:r>
      <w:r/>
    </w:p>
    <w:p>
      <w:pPr>
        <w:numPr>
          <w:ilvl w:val="0"/>
          <w:numId w:val="10"/>
        </w:numPr>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具有履行合同所必需的设备和专业技术能力；</w:t>
      </w:r>
      <w:r/>
    </w:p>
    <w:p>
      <w:pPr>
        <w:numPr>
          <w:ilvl w:val="0"/>
          <w:numId w:val="10"/>
        </w:numPr>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有依法缴纳税收和社会保障资金的良好记录；</w:t>
      </w:r>
      <w:r/>
    </w:p>
    <w:p>
      <w:pPr>
        <w:numPr>
          <w:ilvl w:val="0"/>
          <w:numId w:val="10"/>
        </w:numPr>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参加政府采购活动前三年内，在经营活动中没有出现重大违法记录；</w:t>
      </w:r>
      <w:r/>
    </w:p>
    <w:p>
      <w:pPr>
        <w:numPr>
          <w:ilvl w:val="0"/>
          <w:numId w:val="10"/>
        </w:numPr>
        <w:spacing w:line="400" w:lineRule="exact"/>
        <w:rPr>
          <w:rFonts w:hint="eastAsia" w:ascii="宋体" w:hAnsi="宋体" w:cs="宋体"/>
          <w:color w:val="auto"/>
          <w:szCs w:val="21"/>
          <w:highlight w:val="none"/>
          <w:shd w:val="clear" w:color="auto" w:fill="auto"/>
        </w:rPr>
      </w:pPr>
      <w:r>
        <w:rPr>
          <w:rFonts w:hint="eastAsia" w:ascii="宋体" w:hAnsi="宋体"/>
          <w:color w:val="auto"/>
          <w:szCs w:val="21"/>
          <w:highlight w:val="none"/>
          <w:shd w:val="clear" w:color="auto" w:fill="auto"/>
        </w:rPr>
        <w:t xml:space="preserve">法律、行政法规规</w:t>
      </w:r>
      <w:r>
        <w:rPr>
          <w:rFonts w:hint="eastAsia" w:ascii="宋体" w:hAnsi="宋体" w:cs="宋体"/>
          <w:color w:val="auto"/>
          <w:szCs w:val="21"/>
          <w:highlight w:val="none"/>
          <w:shd w:val="clear" w:color="auto" w:fill="auto"/>
        </w:rPr>
        <w:t xml:space="preserve">定的其他条件。</w:t>
      </w:r>
      <w:r/>
    </w:p>
    <w:p>
      <w:pPr>
        <w:numPr>
          <w:ilvl w:val="0"/>
          <w:numId w:val="9"/>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落实政府采购政策需满足的资格要求：</w:t>
      </w:r>
      <w:r/>
    </w:p>
    <w:p>
      <w:pPr>
        <w:numPr>
          <w:ilvl w:val="0"/>
          <w:numId w:val="11"/>
        </w:numPr>
        <w:spacing w:line="400" w:lineRule="exact"/>
        <w:rPr>
          <w:rFonts w:hint="eastAsia" w:ascii="宋体" w:hAnsi="宋体" w:cs="宋体"/>
          <w:color w:val="auto"/>
          <w:szCs w:val="21"/>
          <w:highlight w:val="none"/>
          <w:shd w:val="clear" w:color="auto" w:fill="auto"/>
        </w:rPr>
      </w:pPr>
      <w:r/>
      <w:bookmarkStart w:id="5" w:name="OLE_LINK5"/>
      <w:r>
        <w:rPr>
          <w:rFonts w:hint="eastAsia" w:ascii="宋体" w:hAnsi="宋体"/>
          <w:color w:val="auto"/>
          <w:szCs w:val="21"/>
          <w:highlight w:val="none"/>
          <w:shd w:val="clear" w:color="auto" w:fill="auto"/>
        </w:rPr>
        <w:t xml:space="preserve">本项目专门面向中小微企业采购，本项目属其他未列明行业</w:t>
      </w:r>
      <w:r>
        <w:rPr>
          <w:rFonts w:hint="eastAsia" w:ascii="宋体" w:hAnsi="宋体"/>
          <w:color w:val="auto"/>
          <w:szCs w:val="21"/>
          <w:highlight w:val="none"/>
          <w:shd w:val="clear" w:color="auto" w:fill="auto"/>
          <w:lang w:eastAsia="zh-CN"/>
        </w:rPr>
        <w:t xml:space="preserve">。供应商须提供中小企业声明函或残疾人福利性单位声明函或省级以上监狱管理局、戒毒管理局（含新疆生产建设兵团）出具的属于监狱企业的证明文件。</w:t>
      </w:r>
      <w:bookmarkEnd w:id="5"/>
      <w:r/>
      <w:r/>
    </w:p>
    <w:p>
      <w:pPr>
        <w:numPr>
          <w:ilvl w:val="0"/>
          <w:numId w:val="9"/>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本项目的特定资格要求：</w:t>
      </w:r>
      <w:r/>
    </w:p>
    <w:p>
      <w:pPr>
        <w:numPr>
          <w:ilvl w:val="0"/>
          <w:numId w:val="12"/>
        </w:numPr>
        <w:spacing w:line="400" w:lineRule="exact"/>
        <w:rPr>
          <w:rFonts w:hint="eastAsia" w:ascii="宋体" w:hAnsi="宋体"/>
          <w:color w:val="auto"/>
          <w:szCs w:val="21"/>
          <w:highlight w:val="none"/>
          <w:shd w:val="clear" w:color="auto" w:fill="auto"/>
        </w:rPr>
      </w:pPr>
      <w:r/>
      <w:bookmarkStart w:id="6" w:name="OLE_LINK12"/>
      <w:r/>
      <w:bookmarkStart w:id="7" w:name="OLE_LINK6"/>
      <w:r>
        <w:rPr>
          <w:rFonts w:hint="eastAsia" w:ascii="宋体" w:hAnsi="宋体" w:cs="宋体"/>
          <w:color w:val="auto"/>
          <w:szCs w:val="21"/>
          <w:highlight w:val="none"/>
          <w:shd w:val="clear" w:color="auto" w:fill="auto"/>
          <w:lang w:val="en-US" w:eastAsia="zh-CN"/>
        </w:rPr>
        <w:t xml:space="preserve">供应商</w:t>
      </w:r>
      <w:r>
        <w:rPr>
          <w:rFonts w:hint="eastAsia" w:ascii="宋体" w:hAnsi="宋体" w:cs="宋体"/>
          <w:color w:val="auto"/>
          <w:szCs w:val="21"/>
          <w:highlight w:val="none"/>
          <w:shd w:val="clear" w:color="auto" w:fill="auto"/>
        </w:rPr>
        <w:t xml:space="preserve">未被列入失信被执行人、重</w:t>
      </w:r>
      <w:r>
        <w:rPr>
          <w:rFonts w:hint="eastAsia" w:ascii="宋体" w:hAnsi="宋体"/>
          <w:color w:val="auto"/>
          <w:szCs w:val="21"/>
          <w:highlight w:val="none"/>
          <w:shd w:val="clear" w:color="auto" w:fill="auto"/>
        </w:rPr>
        <w:t xml:space="preserve">大税收违法案件当事人名单、政府采购严重失信行为记录名单</w:t>
      </w:r>
      <w:bookmarkEnd w:id="6"/>
      <w:r>
        <w:rPr>
          <w:rFonts w:hint="eastAsia" w:ascii="宋体" w:hAnsi="宋体"/>
          <w:color w:val="auto"/>
          <w:szCs w:val="21"/>
          <w:highlight w:val="none"/>
          <w:shd w:val="clear" w:color="auto" w:fill="auto"/>
        </w:rPr>
        <w:t xml:space="preserve">；</w:t>
      </w:r>
      <w:bookmarkEnd w:id="7"/>
      <w:r/>
      <w:r/>
    </w:p>
    <w:p>
      <w:pPr>
        <w:numPr>
          <w:ilvl w:val="0"/>
          <w:numId w:val="12"/>
        </w:numPr>
        <w:spacing w:line="400" w:lineRule="exact"/>
        <w:rPr>
          <w:rFonts w:hint="eastAsia" w:ascii="宋体" w:hAnsi="宋体" w:cs="宋体"/>
          <w:color w:val="auto"/>
          <w:szCs w:val="21"/>
          <w:highlight w:val="none"/>
          <w:shd w:val="clear" w:color="auto" w:fill="auto"/>
        </w:rPr>
      </w:pPr>
      <w:r/>
      <w:bookmarkStart w:id="8" w:name="OLE_LINK14"/>
      <w:r>
        <w:rPr>
          <w:rFonts w:hint="eastAsia" w:ascii="宋体" w:hAnsi="宋体"/>
          <w:color w:val="auto"/>
          <w:szCs w:val="21"/>
          <w:highlight w:val="none"/>
          <w:shd w:val="clear" w:color="auto" w:fill="auto"/>
        </w:rPr>
        <w:t xml:space="preserve">单位负责人为同一人或者存在直</w:t>
      </w:r>
      <w:r>
        <w:rPr>
          <w:rFonts w:hint="eastAsia" w:ascii="宋体" w:hAnsi="宋体" w:cs="宋体"/>
          <w:color w:val="auto"/>
          <w:szCs w:val="21"/>
          <w:highlight w:val="none"/>
          <w:shd w:val="clear" w:color="auto" w:fill="auto"/>
        </w:rPr>
        <w:t xml:space="preserve">接控股、管理关系的不同供应商（包含法定代表人为同一个人的两个及两个以上法人，母公司、全资子公司及其控股公司），不得参加同一合同项下的政府采购活动。</w:t>
      </w:r>
      <w:bookmarkEnd w:id="8"/>
      <w:r/>
      <w:r/>
    </w:p>
    <w:p>
      <w:pPr>
        <w:numPr>
          <w:ilvl w:val="0"/>
          <w:numId w:val="5"/>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获取采购文件</w:t>
      </w:r>
      <w:r/>
    </w:p>
    <w:p>
      <w:pPr>
        <w:numPr>
          <w:ilvl w:val="0"/>
          <w:numId w:val="13"/>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时间：</w:t>
      </w:r>
      <w:r>
        <w:rPr>
          <w:rFonts w:hint="eastAsia" w:ascii="宋体" w:hAnsi="宋体" w:cs="宋体"/>
          <w:color w:val="auto"/>
          <w:szCs w:val="21"/>
          <w:highlight w:val="none"/>
          <w:shd w:val="clear" w:color="auto" w:fill="auto"/>
          <w:lang w:val="en-US" w:eastAsia="zh-CN"/>
        </w:rPr>
        <w:t xml:space="preserve">本采购公告发布之日起五个工作日</w:t>
      </w:r>
      <w:r/>
    </w:p>
    <w:p>
      <w:pPr>
        <w:numPr>
          <w:ilvl w:val="0"/>
          <w:numId w:val="13"/>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地点：江苏省政府采购一体化平台“苏采云”系统自行下载</w:t>
      </w:r>
      <w:r/>
    </w:p>
    <w:p>
      <w:pPr>
        <w:numPr>
          <w:ilvl w:val="0"/>
          <w:numId w:val="13"/>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方式：登录江苏省政府采购一体化平台“苏采云”系统，确认参与项目后自行下载</w:t>
      </w:r>
      <w:r/>
    </w:p>
    <w:p>
      <w:pPr>
        <w:numPr>
          <w:ilvl w:val="0"/>
          <w:numId w:val="13"/>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售价：免费</w:t>
      </w:r>
      <w:r/>
    </w:p>
    <w:p>
      <w:pPr>
        <w:numPr>
          <w:ilvl w:val="0"/>
          <w:numId w:val="5"/>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响应文件提交</w:t>
      </w:r>
      <w:r/>
    </w:p>
    <w:p>
      <w:pPr>
        <w:numPr>
          <w:ilvl w:val="0"/>
          <w:numId w:val="14"/>
        </w:numPr>
        <w:jc w:val="left"/>
        <w:spacing w:line="400" w:lineRule="exact"/>
        <w:widowControl/>
        <w:rPr>
          <w:rFonts w:hint="eastAsia" w:ascii="宋体" w:hAnsi="宋体" w:cs="宋体"/>
          <w:color w:val="auto"/>
          <w:sz w:val="21"/>
          <w:szCs w:val="21"/>
          <w:highlight w:val="none"/>
          <w:shd w:val="clear" w:color="auto" w:fill="auto"/>
        </w:rPr>
      </w:pPr>
      <w:r>
        <w:rPr>
          <w:rFonts w:hint="eastAsia" w:ascii="宋体" w:hAnsi="宋体" w:cs="宋体"/>
          <w:color w:val="auto"/>
          <w:szCs w:val="21"/>
          <w:highlight w:val="none"/>
          <w:shd w:val="clear" w:color="auto" w:fill="auto"/>
        </w:rPr>
        <w:t xml:space="preserve">截止时</w:t>
      </w:r>
      <w:r>
        <w:rPr>
          <w:rFonts w:hint="eastAsia" w:ascii="宋体" w:hAnsi="宋体" w:cs="宋体"/>
          <w:color w:val="auto"/>
          <w:sz w:val="21"/>
          <w:szCs w:val="21"/>
          <w:highlight w:val="none"/>
          <w:shd w:val="clear" w:color="auto" w:fill="auto"/>
        </w:rPr>
        <w:t xml:space="preserve">间：</w:t>
      </w:r>
      <w:r>
        <w:rPr>
          <w:rFonts w:hint="eastAsia" w:ascii="宋体" w:hAnsi="宋体" w:cs="宋体"/>
          <w:color w:val="auto"/>
          <w:sz w:val="21"/>
          <w:szCs w:val="21"/>
          <w:highlight w:val="none"/>
          <w:shd w:val="clear" w:color="auto" w:fill="auto"/>
          <w:lang w:eastAsia="zh-CN"/>
        </w:rPr>
        <w:t xml:space="preserve">202</w:t>
      </w:r>
      <w:r>
        <w:rPr>
          <w:rFonts w:hint="eastAsia" w:ascii="宋体" w:hAnsi="宋体" w:cs="宋体"/>
          <w:color w:val="auto"/>
          <w:sz w:val="21"/>
          <w:szCs w:val="21"/>
          <w:highlight w:val="none"/>
          <w:shd w:val="clear" w:color="auto" w:fill="auto"/>
          <w:lang w:val="en-US" w:eastAsia="zh-CN"/>
        </w:rPr>
        <w:t xml:space="preserve">6</w:t>
      </w:r>
      <w:r>
        <w:rPr>
          <w:rFonts w:hint="eastAsia" w:ascii="宋体" w:hAnsi="宋体" w:cs="宋体"/>
          <w:color w:val="auto"/>
          <w:sz w:val="21"/>
          <w:szCs w:val="21"/>
          <w:highlight w:val="none"/>
          <w:shd w:val="clear" w:color="auto" w:fill="auto"/>
          <w:lang w:eastAsia="zh-CN"/>
        </w:rPr>
        <w:t xml:space="preserve">年</w:t>
      </w:r>
      <w:r>
        <w:rPr>
          <w:rFonts w:hint="eastAsia" w:ascii="宋体" w:hAnsi="宋体" w:cs="宋体"/>
          <w:color w:val="auto"/>
          <w:sz w:val="21"/>
          <w:szCs w:val="21"/>
          <w:highlight w:val="none"/>
          <w:shd w:val="clear" w:color="auto" w:fill="auto"/>
          <w:lang w:val="en-US" w:eastAsia="zh-CN"/>
        </w:rPr>
        <w:t xml:space="preserve">1</w:t>
      </w:r>
      <w:r>
        <w:rPr>
          <w:rFonts w:hint="eastAsia" w:ascii="宋体" w:hAnsi="宋体" w:cs="宋体"/>
          <w:color w:val="auto"/>
          <w:sz w:val="21"/>
          <w:szCs w:val="21"/>
          <w:highlight w:val="none"/>
          <w:shd w:val="clear" w:color="auto" w:fill="auto"/>
          <w:lang w:eastAsia="zh-CN"/>
        </w:rPr>
        <w:t xml:space="preserve">月</w:t>
      </w:r>
      <w:r>
        <w:rPr>
          <w:rFonts w:hint="eastAsia" w:ascii="宋体" w:hAnsi="宋体" w:cs="宋体"/>
          <w:color w:val="auto"/>
          <w:sz w:val="21"/>
          <w:szCs w:val="21"/>
          <w:highlight w:val="none"/>
          <w:shd w:val="clear" w:color="auto" w:fill="auto"/>
          <w:lang w:val="en-US" w:eastAsia="zh-CN"/>
        </w:rPr>
        <w:t xml:space="preserve">5</w:t>
      </w:r>
      <w:r>
        <w:rPr>
          <w:rFonts w:hint="eastAsia" w:ascii="宋体" w:hAnsi="宋体" w:cs="宋体"/>
          <w:color w:val="auto"/>
          <w:sz w:val="21"/>
          <w:szCs w:val="21"/>
          <w:highlight w:val="none"/>
          <w:shd w:val="clear" w:color="auto" w:fill="auto"/>
          <w:lang w:eastAsia="zh-CN"/>
        </w:rPr>
        <w:t xml:space="preserve">日</w:t>
      </w:r>
      <w:r>
        <w:rPr>
          <w:rFonts w:hint="eastAsia" w:ascii="宋体" w:hAnsi="宋体" w:cs="宋体"/>
          <w:color w:val="auto"/>
          <w:sz w:val="21"/>
          <w:szCs w:val="21"/>
          <w:highlight w:val="none"/>
          <w:shd w:val="clear" w:color="auto" w:fill="auto"/>
          <w:lang w:val="en-US" w:eastAsia="zh-CN"/>
        </w:rPr>
        <w:t xml:space="preserve">13</w:t>
      </w:r>
      <w:r>
        <w:rPr>
          <w:rFonts w:hint="eastAsia" w:ascii="宋体" w:hAnsi="宋体" w:cs="宋体"/>
          <w:color w:val="auto"/>
          <w:sz w:val="21"/>
          <w:szCs w:val="21"/>
          <w:highlight w:val="none"/>
          <w:shd w:val="clear" w:color="auto" w:fill="auto"/>
          <w:lang w:eastAsia="zh-CN"/>
        </w:rPr>
        <w:t xml:space="preserve">：30</w:t>
      </w:r>
      <w:r/>
    </w:p>
    <w:p>
      <w:pPr>
        <w:numPr>
          <w:ilvl w:val="0"/>
          <w:numId w:val="14"/>
        </w:numPr>
        <w:jc w:val="left"/>
        <w:spacing w:line="400" w:lineRule="exact"/>
        <w:widowControl/>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地点：苏采云系统（网址：http://jszfcg.jsczt.cn/）。</w:t>
      </w:r>
      <w:r/>
    </w:p>
    <w:p>
      <w:pPr>
        <w:numPr>
          <w:ilvl w:val="0"/>
          <w:numId w:val="5"/>
        </w:numPr>
        <w:jc w:val="left"/>
        <w:spacing w:line="400" w:lineRule="exact"/>
        <w:widowControl/>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开启</w:t>
      </w:r>
      <w:r/>
    </w:p>
    <w:p>
      <w:pPr>
        <w:numPr>
          <w:ilvl w:val="0"/>
          <w:numId w:val="15"/>
        </w:numPr>
        <w:jc w:val="left"/>
        <w:spacing w:line="400" w:lineRule="exact"/>
        <w:widowControl/>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时间：</w:t>
      </w:r>
      <w:r>
        <w:rPr>
          <w:rFonts w:hint="eastAsia" w:ascii="宋体" w:hAnsi="宋体" w:cs="宋体"/>
          <w:color w:val="auto"/>
          <w:sz w:val="21"/>
          <w:szCs w:val="21"/>
          <w:highlight w:val="none"/>
          <w:shd w:val="clear" w:color="auto" w:fill="auto"/>
          <w:lang w:eastAsia="zh-CN"/>
        </w:rPr>
        <w:t xml:space="preserve">202</w:t>
      </w:r>
      <w:r>
        <w:rPr>
          <w:rFonts w:hint="eastAsia" w:ascii="宋体" w:hAnsi="宋体" w:cs="宋体"/>
          <w:color w:val="auto"/>
          <w:sz w:val="21"/>
          <w:szCs w:val="21"/>
          <w:highlight w:val="none"/>
          <w:shd w:val="clear" w:color="auto" w:fill="auto"/>
          <w:lang w:val="en-US" w:eastAsia="zh-CN"/>
        </w:rPr>
        <w:t xml:space="preserve">6</w:t>
      </w:r>
      <w:r>
        <w:rPr>
          <w:rFonts w:hint="eastAsia" w:ascii="宋体" w:hAnsi="宋体" w:cs="宋体"/>
          <w:color w:val="auto"/>
          <w:sz w:val="21"/>
          <w:szCs w:val="21"/>
          <w:highlight w:val="none"/>
          <w:shd w:val="clear" w:color="auto" w:fill="auto"/>
          <w:lang w:eastAsia="zh-CN"/>
        </w:rPr>
        <w:t xml:space="preserve">年</w:t>
      </w:r>
      <w:r>
        <w:rPr>
          <w:rFonts w:hint="eastAsia" w:ascii="宋体" w:hAnsi="宋体" w:cs="宋体"/>
          <w:color w:val="auto"/>
          <w:sz w:val="21"/>
          <w:szCs w:val="21"/>
          <w:highlight w:val="none"/>
          <w:shd w:val="clear" w:color="auto" w:fill="auto"/>
          <w:lang w:val="en-US" w:eastAsia="zh-CN"/>
        </w:rPr>
        <w:t xml:space="preserve">1</w:t>
      </w:r>
      <w:r>
        <w:rPr>
          <w:rFonts w:hint="eastAsia" w:ascii="宋体" w:hAnsi="宋体" w:cs="宋体"/>
          <w:color w:val="auto"/>
          <w:sz w:val="21"/>
          <w:szCs w:val="21"/>
          <w:highlight w:val="none"/>
          <w:shd w:val="clear" w:color="auto" w:fill="auto"/>
          <w:lang w:eastAsia="zh-CN"/>
        </w:rPr>
        <w:t xml:space="preserve">月</w:t>
      </w:r>
      <w:r>
        <w:rPr>
          <w:rFonts w:hint="eastAsia" w:ascii="宋体" w:hAnsi="宋体" w:cs="宋体"/>
          <w:color w:val="auto"/>
          <w:sz w:val="21"/>
          <w:szCs w:val="21"/>
          <w:highlight w:val="none"/>
          <w:shd w:val="clear" w:color="auto" w:fill="auto"/>
          <w:lang w:val="en-US" w:eastAsia="zh-CN"/>
        </w:rPr>
        <w:t xml:space="preserve">5</w:t>
      </w:r>
      <w:r>
        <w:rPr>
          <w:rFonts w:hint="eastAsia" w:ascii="宋体" w:hAnsi="宋体" w:cs="宋体"/>
          <w:color w:val="auto"/>
          <w:sz w:val="21"/>
          <w:szCs w:val="21"/>
          <w:highlight w:val="none"/>
          <w:shd w:val="clear" w:color="auto" w:fill="auto"/>
          <w:lang w:eastAsia="zh-CN"/>
        </w:rPr>
        <w:t xml:space="preserve">日</w:t>
      </w:r>
      <w:r>
        <w:rPr>
          <w:rFonts w:hint="eastAsia" w:ascii="宋体" w:hAnsi="宋体" w:cs="宋体"/>
          <w:color w:val="auto"/>
          <w:sz w:val="21"/>
          <w:szCs w:val="21"/>
          <w:highlight w:val="none"/>
          <w:shd w:val="clear" w:color="auto" w:fill="auto"/>
          <w:lang w:val="en-US" w:eastAsia="zh-CN"/>
        </w:rPr>
        <w:t xml:space="preserve">13</w:t>
      </w:r>
      <w:r>
        <w:rPr>
          <w:rFonts w:hint="eastAsia" w:ascii="宋体" w:hAnsi="宋体" w:cs="宋体"/>
          <w:color w:val="auto"/>
          <w:sz w:val="21"/>
          <w:szCs w:val="21"/>
          <w:highlight w:val="none"/>
          <w:shd w:val="clear" w:color="auto" w:fill="auto"/>
          <w:lang w:eastAsia="zh-CN"/>
        </w:rPr>
        <w:t xml:space="preserve">：30</w:t>
      </w:r>
      <w:r/>
    </w:p>
    <w:p>
      <w:pPr>
        <w:numPr>
          <w:ilvl w:val="0"/>
          <w:numId w:val="15"/>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 w:val="21"/>
          <w:szCs w:val="21"/>
          <w:highlight w:val="none"/>
          <w:shd w:val="clear" w:color="auto" w:fill="auto"/>
        </w:rPr>
        <w:t xml:space="preserve">地点：</w:t>
      </w:r>
      <w:r>
        <w:rPr>
          <w:rFonts w:hint="eastAsia" w:ascii="宋体" w:hAnsi="宋体" w:cs="宋体"/>
          <w:color w:val="auto"/>
          <w:szCs w:val="21"/>
          <w:highlight w:val="none"/>
        </w:rPr>
        <w:t xml:space="preserve">苏州市市辖区【狮山科技馆】不见面开标室（虚拟开标室）</w:t>
      </w:r>
      <w:r>
        <w:rPr>
          <w:rFonts w:hint="eastAsia" w:ascii="宋体" w:hAnsi="宋体" w:cs="宋体"/>
          <w:color w:val="auto"/>
          <w:szCs w:val="21"/>
          <w:highlight w:val="none"/>
          <w:shd w:val="clear" w:color="auto" w:fill="auto"/>
        </w:rPr>
        <w:t xml:space="preserve">。</w:t>
      </w:r>
      <w:r/>
    </w:p>
    <w:p>
      <w:pPr>
        <w:numPr>
          <w:ilvl w:val="0"/>
          <w:numId w:val="5"/>
        </w:numPr>
        <w:ind w:left="567" w:hanging="567"/>
        <w:jc w:val="left"/>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公告期限：自本公告发布之日起3个工作日。</w:t>
      </w:r>
      <w:r/>
    </w:p>
    <w:p>
      <w:pPr>
        <w:numPr>
          <w:ilvl w:val="0"/>
          <w:numId w:val="5"/>
        </w:numPr>
        <w:ind w:left="567" w:hanging="567"/>
        <w:jc w:val="left"/>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其他相关事宜：</w:t>
      </w:r>
      <w:r/>
    </w:p>
    <w:p>
      <w:pPr>
        <w:numPr>
          <w:ilvl w:val="0"/>
          <w:numId w:val="16"/>
        </w:numPr>
        <w:ind w:left="567" w:hanging="567"/>
        <w:jc w:val="left"/>
        <w:keepLines w:val="0"/>
        <w:keepNext w:val="0"/>
        <w:pageBreakBefore w:val="0"/>
        <w:spacing w:line="400" w:lineRule="exact"/>
        <w:widowControl w:val="off"/>
        <w:rPr>
          <w:rFonts w:hint="eastAsia" w:ascii="宋体" w:hAnsi="宋体" w:eastAsia="宋体" w:cs="宋体"/>
          <w:color w:val="auto"/>
          <w:szCs w:val="21"/>
          <w:highlight w:val="none"/>
          <w:shd w:val="clear" w:color="auto" w:fill="auto"/>
        </w:rPr>
        <w:outlineLvl w:val="9"/>
      </w:pPr>
      <w:r/>
      <w:bookmarkStart w:id="9" w:name="OLE_LINK20"/>
      <w:r/>
      <w:bookmarkStart w:id="10" w:name="OLE_LINK16"/>
      <w:r>
        <w:rPr>
          <w:rFonts w:hint="eastAsia" w:ascii="宋体" w:hAnsi="宋体" w:eastAsia="宋体" w:cs="宋体"/>
          <w:color w:val="auto"/>
          <w:szCs w:val="21"/>
          <w:highlight w:val="none"/>
          <w:shd w:val="clear" w:color="auto" w:fill="auto"/>
        </w:rPr>
        <w:t xml:space="preserve">CA证书办</w:t>
      </w:r>
      <w:r>
        <w:rPr>
          <w:rFonts w:hint="eastAsia" w:ascii="宋体" w:hAnsi="宋体" w:eastAsia="宋体" w:cs="宋体"/>
          <w:color w:val="auto"/>
          <w:szCs w:val="21"/>
          <w:highlight w:val="none"/>
          <w:shd w:val="clear" w:color="auto" w:fill="auto"/>
        </w:rPr>
        <w:t xml:space="preserve">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-69820834。</w:t>
      </w:r>
      <w:r/>
    </w:p>
    <w:p>
      <w:pPr>
        <w:numPr>
          <w:ilvl w:val="0"/>
          <w:numId w:val="16"/>
        </w:numPr>
        <w:ind w:left="567" w:hanging="567"/>
        <w:jc w:val="left"/>
        <w:keepLines w:val="0"/>
        <w:keepNext w:val="0"/>
        <w:pageBreakBefore w:val="0"/>
        <w:spacing w:line="400" w:lineRule="exact"/>
        <w:widowControl w:val="off"/>
        <w:rPr>
          <w:rFonts w:hint="eastAsia" w:ascii="宋体" w:hAnsi="宋体" w:eastAsia="宋体" w:cs="宋体"/>
          <w:color w:val="auto"/>
          <w:szCs w:val="21"/>
          <w:highlight w:val="none"/>
          <w:shd w:val="clear" w:color="auto" w:fill="auto"/>
        </w:rPr>
        <w:outlineLvl w:val="9"/>
      </w:pPr>
      <w:r>
        <w:rPr>
          <w:rFonts w:hint="eastAsia" w:ascii="宋体" w:hAnsi="宋体" w:eastAsia="宋体" w:cs="宋体"/>
          <w:color w:val="auto"/>
          <w:szCs w:val="21"/>
          <w:highlight w:val="none"/>
          <w:shd w:val="clear" w:color="auto" w:fill="auto"/>
        </w:rPr>
        <w:t xml:space="preserve">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numPr>
          <w:ilvl w:val="0"/>
          <w:numId w:val="16"/>
        </w:numPr>
        <w:ind w:left="567" w:hanging="567"/>
        <w:jc w:val="left"/>
        <w:keepLines w:val="0"/>
        <w:keepNext w:val="0"/>
        <w:pageBreakBefore w:val="0"/>
        <w:spacing w:line="400" w:lineRule="exact"/>
        <w:widowControl w:val="off"/>
        <w:rPr>
          <w:rFonts w:hint="eastAsia" w:ascii="宋体" w:hAnsi="宋体" w:eastAsia="宋体" w:cs="宋体"/>
          <w:color w:val="auto"/>
          <w:szCs w:val="21"/>
          <w:highlight w:val="none"/>
          <w:shd w:val="clear" w:color="auto" w:fill="auto"/>
        </w:rPr>
        <w:outlineLvl w:val="9"/>
      </w:pPr>
      <w:r>
        <w:rPr>
          <w:rFonts w:hint="eastAsia" w:ascii="宋体" w:hAnsi="宋体" w:eastAsia="宋体" w:cs="宋体"/>
          <w:color w:val="auto"/>
          <w:szCs w:val="21"/>
          <w:highlight w:val="none"/>
          <w:shd w:val="clear" w:color="auto" w:fill="auto"/>
        </w:rPr>
        <w:t xml:space="preserve">技术服务咨询电话：CA技术咨询电话：400-608-6099；电子签章技术咨询电话：025-83633811、025-83633812、15380932027、15371015030；系统使用指导与咨询电话：18261002950（不见面项目）QQ：3048755361、895706745。</w:t>
      </w:r>
      <w:r/>
    </w:p>
    <w:p>
      <w:pPr>
        <w:numPr>
          <w:ilvl w:val="0"/>
          <w:numId w:val="16"/>
        </w:numPr>
        <w:ind w:left="567" w:hanging="567"/>
        <w:jc w:val="left"/>
        <w:keepLines w:val="0"/>
        <w:keepNext w:val="0"/>
        <w:pageBreakBefore w:val="0"/>
        <w:spacing w:line="400" w:lineRule="exact"/>
        <w:widowControl w:val="off"/>
        <w:rPr>
          <w:rFonts w:hint="eastAsia" w:ascii="宋体" w:hAnsi="宋体" w:eastAsia="宋体" w:cs="宋体"/>
          <w:color w:val="auto"/>
          <w:szCs w:val="21"/>
          <w:highlight w:val="none"/>
          <w:shd w:val="clear" w:color="auto" w:fill="auto"/>
        </w:rPr>
        <w:outlineLvl w:val="9"/>
      </w:pPr>
      <w:r>
        <w:rPr>
          <w:rFonts w:hint="eastAsia" w:ascii="宋体" w:hAnsi="宋体" w:eastAsia="宋体" w:cs="宋体"/>
          <w:color w:val="auto"/>
          <w:szCs w:val="21"/>
          <w:highlight w:val="none"/>
          <w:shd w:val="clear" w:color="auto" w:fill="auto"/>
        </w:rPr>
        <w:t xml:space="preserve">未依照招标公告要求获取招标文件的响应单位，视为未参与该项政府采购活动，不具备对该政府采购项目提出质疑的法定权利，但因供应商资格条件或报名时间设定不符合有关法律法规规定等原因使供应商权益受损的除外。</w:t>
      </w:r>
      <w:r/>
    </w:p>
    <w:p>
      <w:pPr>
        <w:numPr>
          <w:ilvl w:val="0"/>
          <w:numId w:val="16"/>
        </w:numPr>
        <w:ind w:left="567" w:hanging="567"/>
        <w:jc w:val="left"/>
        <w:keepLines w:val="0"/>
        <w:keepNext w:val="0"/>
        <w:pageBreakBefore w:val="0"/>
        <w:spacing w:line="400" w:lineRule="exact"/>
        <w:widowControl w:val="off"/>
        <w:rPr>
          <w:rFonts w:hint="eastAsia" w:ascii="宋体" w:hAnsi="宋体" w:eastAsia="宋体" w:cs="宋体"/>
          <w:color w:val="auto"/>
          <w:szCs w:val="21"/>
          <w:highlight w:val="none"/>
          <w:shd w:val="clear" w:color="auto" w:fill="auto"/>
        </w:rPr>
        <w:outlineLvl w:val="9"/>
      </w:pPr>
      <w:r>
        <w:rPr>
          <w:rFonts w:hint="eastAsia" w:ascii="宋体" w:hAnsi="宋体" w:eastAsia="宋体" w:cs="宋体"/>
          <w:color w:val="auto"/>
          <w:szCs w:val="21"/>
          <w:highlight w:val="none"/>
          <w:shd w:val="clear" w:color="auto" w:fill="auto"/>
        </w:rPr>
        <w:t xml:space="preserve">本项目采用电子招投标形式，供应商在“苏采云”系统中操作成功参与项目后，必须在“已参与项目”界面中下载电子招标文件（后缀名为“.kedt”）并导入政府采购客户端工具后方可进行投标文件制作和提交（具体详见《苏采云系统供应商操作手册》。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责任。</w:t>
      </w:r>
      <w:r/>
    </w:p>
    <w:p>
      <w:pPr>
        <w:numPr>
          <w:ilvl w:val="0"/>
          <w:numId w:val="16"/>
        </w:numPr>
        <w:ind w:left="567" w:hanging="567"/>
        <w:jc w:val="left"/>
        <w:keepLines w:val="0"/>
        <w:keepNext w:val="0"/>
        <w:pageBreakBefore w:val="0"/>
        <w:spacing w:line="400" w:lineRule="exact"/>
        <w:widowControl w:val="off"/>
        <w:rPr>
          <w:rFonts w:hint="eastAsia" w:ascii="宋体" w:hAnsi="宋体" w:eastAsia="宋体" w:cs="宋体"/>
          <w:color w:val="auto"/>
          <w:szCs w:val="21"/>
          <w:highlight w:val="none"/>
          <w:shd w:val="clear" w:color="auto" w:fill="auto"/>
        </w:rPr>
        <w:outlineLvl w:val="9"/>
      </w:pPr>
      <w:r>
        <w:rPr>
          <w:rFonts w:hint="eastAsia" w:ascii="宋体" w:hAnsi="宋体" w:eastAsia="宋体" w:cs="宋体"/>
          <w:color w:val="auto"/>
          <w:szCs w:val="21"/>
          <w:highlight w:val="none"/>
          <w:shd w:val="clear" w:color="auto" w:fill="auto"/>
        </w:rPr>
        <w:t xml:space="preserve">线上参加开标（开启）会方式：供应商登录“苏采云”系统，点击“开标大厅”，选择对应项目，点击进入不见面开标系统。</w:t>
      </w:r>
      <w:r/>
    </w:p>
    <w:p>
      <w:pPr>
        <w:numPr>
          <w:ilvl w:val="0"/>
          <w:numId w:val="16"/>
        </w:numPr>
        <w:ind w:left="567" w:hanging="567"/>
        <w:jc w:val="left"/>
        <w:keepLines w:val="0"/>
        <w:keepNext w:val="0"/>
        <w:pageBreakBefore w:val="0"/>
        <w:spacing w:line="400" w:lineRule="exact"/>
        <w:widowControl w:val="off"/>
        <w:rPr>
          <w:rFonts w:hint="eastAsia" w:ascii="宋体" w:hAnsi="宋体" w:eastAsia="宋体" w:cs="宋体"/>
          <w:color w:val="auto"/>
          <w:szCs w:val="21"/>
          <w:highlight w:val="none"/>
          <w:shd w:val="clear" w:color="auto" w:fill="auto"/>
        </w:rPr>
        <w:outlineLvl w:val="9"/>
      </w:pPr>
      <w:r>
        <w:rPr>
          <w:rFonts w:hint="eastAsia" w:ascii="宋体" w:hAnsi="宋体" w:eastAsia="宋体" w:cs="宋体"/>
          <w:color w:val="auto"/>
          <w:szCs w:val="21"/>
          <w:highlight w:val="none"/>
          <w:shd w:val="clear" w:color="auto" w:fill="auto"/>
        </w:rPr>
        <w:t xml:space="preserve">本项目为不见面开标（开启）项目，开启阶段供应商在【解密环节】必须使用 CA证书解密电子投标文件，如在“苏采云”系统规定的时间内（投标文件提交截止时间后 30分钟)未能成功解密的视为放弃参与本项目，投标无效。</w:t>
      </w:r>
      <w:r/>
    </w:p>
    <w:p>
      <w:pPr>
        <w:numPr>
          <w:ilvl w:val="0"/>
          <w:numId w:val="16"/>
        </w:numPr>
        <w:ind w:left="567" w:hanging="567"/>
        <w:jc w:val="left"/>
        <w:keepLines w:val="0"/>
        <w:keepNext w:val="0"/>
        <w:pageBreakBefore w:val="0"/>
        <w:spacing w:line="400" w:lineRule="exact"/>
        <w:widowControl w:val="off"/>
        <w:rPr>
          <w:rFonts w:hint="eastAsia" w:ascii="宋体" w:hAnsi="宋体" w:eastAsia="宋体" w:cs="宋体"/>
          <w:color w:val="auto"/>
          <w:szCs w:val="21"/>
          <w:highlight w:val="none"/>
          <w:shd w:val="clear" w:color="auto" w:fill="auto"/>
        </w:rPr>
        <w:outlineLvl w:val="9"/>
      </w:pPr>
      <w:r>
        <w:rPr>
          <w:rFonts w:hint="eastAsia" w:ascii="宋体" w:hAnsi="宋体" w:eastAsia="宋体" w:cs="宋体"/>
          <w:color w:val="auto"/>
          <w:szCs w:val="21"/>
          <w:highlight w:val="none"/>
          <w:shd w:val="clear" w:color="auto" w:fill="auto"/>
        </w:rPr>
        <w:t xml:space="preserve">请供应商确保电脑、系统及其他设备（视频输入输出设备等）无误，且开启直至项目结束始终保持系统在线状态。</w:t>
      </w:r>
      <w:r/>
    </w:p>
    <w:p>
      <w:pPr>
        <w:numPr>
          <w:ilvl w:val="0"/>
          <w:numId w:val="16"/>
        </w:numPr>
        <w:ind w:left="567" w:hanging="567"/>
        <w:jc w:val="left"/>
        <w:keepLines w:val="0"/>
        <w:keepNext w:val="0"/>
        <w:pageBreakBefore w:val="0"/>
        <w:spacing w:line="400" w:lineRule="exact"/>
        <w:widowControl w:val="off"/>
        <w:rPr>
          <w:rFonts w:hint="eastAsia" w:ascii="宋体" w:hAnsi="宋体" w:eastAsia="宋体" w:cs="宋体"/>
          <w:color w:val="auto"/>
          <w:szCs w:val="21"/>
          <w:highlight w:val="none"/>
          <w:shd w:val="clear" w:color="auto" w:fill="auto"/>
        </w:rPr>
        <w:outlineLvl w:val="9"/>
      </w:pPr>
      <w:r>
        <w:rPr>
          <w:rFonts w:hint="eastAsia" w:ascii="宋体" w:hAnsi="宋体" w:eastAsia="宋体" w:cs="宋体"/>
          <w:color w:val="auto"/>
          <w:szCs w:val="21"/>
          <w:highlight w:val="none"/>
          <w:shd w:val="clear" w:color="auto" w:fill="auto"/>
        </w:rPr>
        <w:t xml:space="preserve">本公告同时在江苏省政府采购网、苏州市政府采购网上发布。</w:t>
      </w:r>
      <w:bookmarkEnd w:id="9"/>
      <w:r/>
      <w:bookmarkEnd w:id="10"/>
      <w:r/>
      <w:r/>
    </w:p>
    <w:p>
      <w:pPr>
        <w:numPr>
          <w:ilvl w:val="0"/>
          <w:numId w:val="5"/>
        </w:numPr>
        <w:ind w:left="567" w:hanging="567"/>
        <w:jc w:val="left"/>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对本次采购提出询问，请按以下方式联系：</w:t>
      </w:r>
      <w:r/>
    </w:p>
    <w:p>
      <w:pPr>
        <w:numPr>
          <w:ilvl w:val="0"/>
          <w:numId w:val="17"/>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采购人信息</w:t>
      </w:r>
      <w:r/>
    </w:p>
    <w:p>
      <w:pPr>
        <w:ind w:left="567"/>
        <w:jc w:val="left"/>
        <w:spacing w:line="400" w:lineRule="exact"/>
        <w:widowControl/>
        <w:rPr>
          <w:rFonts w:hint="eastAsia" w:ascii="宋体" w:hAnsi="宋体" w:eastAsia="宋体" w:cs="宋体"/>
          <w:color w:val="auto"/>
          <w:szCs w:val="21"/>
          <w:highlight w:val="none"/>
          <w:shd w:val="clear" w:color="auto" w:fill="auto"/>
          <w:lang w:eastAsia="zh-CN"/>
        </w:rPr>
      </w:pPr>
      <w:r/>
      <w:bookmarkStart w:id="11" w:name="OLE_LINK17"/>
      <w:r>
        <w:rPr>
          <w:rFonts w:hint="eastAsia" w:ascii="宋体" w:hAnsi="宋体" w:cs="宋体"/>
          <w:color w:val="auto"/>
          <w:szCs w:val="21"/>
          <w:highlight w:val="none"/>
          <w:shd w:val="clear" w:color="auto" w:fill="auto"/>
        </w:rPr>
        <w:t xml:space="preserve">名称：</w:t>
      </w:r>
      <w:r>
        <w:rPr>
          <w:rFonts w:hint="eastAsia" w:ascii="宋体" w:hAnsi="宋体" w:cs="宋体"/>
          <w:color w:val="auto"/>
          <w:szCs w:val="21"/>
          <w:highlight w:val="none"/>
          <w:shd w:val="clear" w:color="auto" w:fill="auto"/>
          <w:lang w:eastAsia="zh-CN"/>
        </w:rPr>
        <w:t xml:space="preserve">苏州市环境监测站</w:t>
      </w:r>
      <w:r/>
    </w:p>
    <w:p>
      <w:pPr>
        <w:ind w:left="567"/>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地址：苏州市竹园路</w:t>
      </w:r>
      <w:r>
        <w:rPr>
          <w:rFonts w:hint="eastAsia" w:ascii="宋体" w:hAnsi="宋体" w:cs="宋体"/>
          <w:color w:val="auto"/>
          <w:szCs w:val="21"/>
          <w:highlight w:val="none"/>
          <w:shd w:val="clear" w:color="auto" w:fill="auto"/>
          <w:lang w:val="en-US" w:eastAsia="zh-CN"/>
        </w:rPr>
        <w:t xml:space="preserve">8</w:t>
      </w:r>
      <w:r>
        <w:rPr>
          <w:rFonts w:hint="eastAsia" w:ascii="宋体" w:hAnsi="宋体" w:cs="宋体"/>
          <w:color w:val="auto"/>
          <w:szCs w:val="21"/>
          <w:highlight w:val="none"/>
          <w:shd w:val="clear" w:color="auto" w:fill="auto"/>
        </w:rPr>
        <w:t xml:space="preserve">号</w:t>
      </w:r>
      <w:r/>
    </w:p>
    <w:p>
      <w:pPr>
        <w:ind w:left="567"/>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联系方式：0512-68707629</w:t>
      </w:r>
      <w:r/>
    </w:p>
    <w:p>
      <w:pPr>
        <w:ind w:left="567"/>
        <w:jc w:val="left"/>
        <w:spacing w:line="400" w:lineRule="exact"/>
        <w:widowControl/>
        <w:rPr>
          <w:rFonts w:hint="default"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rPr>
        <w:t xml:space="preserve">联系人：</w:t>
      </w:r>
      <w:bookmarkEnd w:id="11"/>
      <w:r>
        <w:rPr>
          <w:rFonts w:hint="eastAsia" w:ascii="宋体" w:hAnsi="宋体" w:cs="宋体"/>
          <w:color w:val="auto"/>
          <w:szCs w:val="21"/>
          <w:highlight w:val="none"/>
          <w:shd w:val="clear" w:color="auto" w:fill="auto"/>
          <w:lang w:val="en-US" w:eastAsia="zh-CN"/>
        </w:rPr>
        <w:t xml:space="preserve">肖凡婕</w:t>
      </w:r>
      <w:r/>
    </w:p>
    <w:p>
      <w:pPr>
        <w:numPr>
          <w:ilvl w:val="0"/>
          <w:numId w:val="17"/>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采购代理机构信息</w:t>
      </w:r>
      <w:r/>
    </w:p>
    <w:p>
      <w:pPr>
        <w:ind w:left="567"/>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名称：苏州市原鑫招投标咨询服务有限公司</w:t>
      </w:r>
      <w:r/>
    </w:p>
    <w:p>
      <w:pPr>
        <w:ind w:left="567"/>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地址：苏州市三香路万盛大厦13楼B座</w:t>
      </w:r>
      <w:r/>
    </w:p>
    <w:p>
      <w:pPr>
        <w:ind w:left="567"/>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联系方式：0512-68364647、68361806*8002</w:t>
      </w:r>
      <w:r/>
    </w:p>
    <w:p>
      <w:pPr>
        <w:numPr>
          <w:ilvl w:val="0"/>
          <w:numId w:val="17"/>
        </w:numPr>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项目联系方式</w:t>
      </w:r>
      <w:r/>
    </w:p>
    <w:p>
      <w:pPr>
        <w:ind w:left="567"/>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项目联系人：金健、周详、祝晓忠、周悦婷</w:t>
      </w:r>
      <w:r/>
    </w:p>
    <w:p>
      <w:pPr>
        <w:ind w:left="567"/>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电话：0512-68364647、68361806*8002</w:t>
      </w:r>
      <w:r/>
    </w:p>
    <w:p>
      <w:pPr>
        <w:jc w:val="center"/>
        <w:spacing w:line="480" w:lineRule="auto"/>
        <w:tabs>
          <w:tab w:val="left" w:pos="426" w:leader="none"/>
          <w:tab w:val="left" w:pos="709" w:leader="none"/>
        </w:tabs>
        <w:rPr>
          <w:rFonts w:hint="eastAsia" w:ascii="宋体" w:hAnsi="宋体"/>
          <w:b/>
          <w:bCs/>
          <w:color w:val="auto"/>
          <w:sz w:val="32"/>
          <w:szCs w:val="32"/>
          <w:highlight w:val="none"/>
          <w:shd w:val="clear" w:color="auto" w:fill="auto"/>
        </w:rPr>
      </w:pPr>
      <w:r>
        <w:rPr>
          <w:rFonts w:ascii="宋体" w:hAnsi="宋体" w:cs="宋体"/>
          <w:color w:val="auto"/>
          <w:szCs w:val="21"/>
          <w:highlight w:val="none"/>
          <w:shd w:val="clear" w:color="auto" w:fill="auto"/>
        </w:rPr>
        <w:br w:type="page" w:clear="all"/>
      </w:r>
      <w:r>
        <w:rPr>
          <w:rFonts w:hint="eastAsia" w:ascii="宋体" w:hAnsi="宋体"/>
          <w:b/>
          <w:color w:val="auto"/>
          <w:sz w:val="32"/>
          <w:highlight w:val="none"/>
          <w:shd w:val="clear" w:color="auto" w:fill="auto"/>
        </w:rPr>
        <w:t xml:space="preserve">二、磋商采购文件</w:t>
      </w:r>
      <w:r/>
    </w:p>
    <w:p>
      <w:pPr>
        <w:ind w:firstLine="525"/>
        <w:jc w:val="left"/>
        <w:keepLines w:val="0"/>
        <w:keepNext w:val="0"/>
        <w:pageBreakBefore w:val="0"/>
        <w:spacing w:line="44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苏州市原鑫招投标咨询服务有限公司受</w:t>
      </w:r>
      <w:r>
        <w:rPr>
          <w:rFonts w:hint="eastAsia" w:ascii="宋体" w:hAnsi="宋体" w:cs="宋体"/>
          <w:color w:val="auto"/>
          <w:szCs w:val="21"/>
          <w:highlight w:val="none"/>
          <w:shd w:val="clear" w:color="auto" w:fill="auto"/>
          <w:lang w:eastAsia="zh-CN"/>
        </w:rPr>
        <w:t xml:space="preserve">苏州市环境监测站</w:t>
      </w:r>
      <w:r>
        <w:rPr>
          <w:rFonts w:hint="eastAsia" w:ascii="宋体" w:hAnsi="宋体" w:cs="宋体"/>
          <w:color w:val="auto"/>
          <w:szCs w:val="21"/>
          <w:highlight w:val="none"/>
          <w:shd w:val="clear" w:color="auto" w:fill="auto"/>
        </w:rPr>
        <w:t xml:space="preserve">的委托，就其所需要采购的</w:t>
      </w:r>
      <w:r>
        <w:rPr>
          <w:rFonts w:hint="eastAsia" w:ascii="宋体" w:hAnsi="宋体"/>
          <w:color w:val="auto"/>
          <w:szCs w:val="21"/>
          <w:highlight w:val="none"/>
          <w:shd w:val="clear" w:color="auto" w:fill="auto"/>
          <w:lang w:eastAsia="zh-CN"/>
        </w:rPr>
        <w:t xml:space="preserve">2026-2027年3台VOCs设备运维</w:t>
      </w:r>
      <w:r>
        <w:rPr>
          <w:rFonts w:hint="eastAsia" w:ascii="宋体" w:hAnsi="宋体" w:cs="宋体"/>
          <w:color w:val="auto"/>
          <w:szCs w:val="21"/>
          <w:highlight w:val="none"/>
          <w:shd w:val="clear" w:color="auto" w:fill="auto"/>
        </w:rPr>
        <w:t xml:space="preserve">在国内组织竞争性磋商采购。欢迎符合采购文件资格条件的供应商前来参加磋商。</w:t>
      </w:r>
      <w:r/>
    </w:p>
    <w:p>
      <w:pPr>
        <w:numPr>
          <w:ilvl w:val="0"/>
          <w:numId w:val="18"/>
        </w:numPr>
        <w:ind w:left="567" w:hanging="567"/>
        <w:keepLines w:val="0"/>
        <w:keepNext w:val="0"/>
        <w:pageBreakBefore w:val="0"/>
        <w:spacing w:line="400" w:lineRule="exact"/>
        <w:widowControl w:val="off"/>
        <w:tabs>
          <w:tab w:val="clear" w:pos="420" w:leader="none"/>
          <w:tab w:val="left" w:pos="567" w:leader="none"/>
        </w:tabs>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采购编号：</w:t>
      </w:r>
      <w:r>
        <w:rPr>
          <w:rFonts w:hint="eastAsia" w:ascii="宋体" w:hAnsi="宋体"/>
          <w:bCs/>
          <w:color w:val="auto"/>
          <w:szCs w:val="21"/>
          <w:highlight w:val="none"/>
          <w:shd w:val="clear" w:color="auto" w:fill="auto"/>
          <w:lang w:eastAsia="zh-CN"/>
        </w:rPr>
        <w:t xml:space="preserve">JSZC-320500-SZYX-C2025-0083</w:t>
      </w:r>
      <w:r/>
    </w:p>
    <w:p>
      <w:pPr>
        <w:numPr>
          <w:ilvl w:val="0"/>
          <w:numId w:val="18"/>
        </w:numPr>
        <w:ind w:left="567" w:hanging="567"/>
        <w:keepLines w:val="0"/>
        <w:keepNext w:val="0"/>
        <w:pageBreakBefore w:val="0"/>
        <w:spacing w:line="400" w:lineRule="exact"/>
        <w:widowControl w:val="off"/>
        <w:tabs>
          <w:tab w:val="clear" w:pos="420" w:leader="none"/>
          <w:tab w:val="left" w:pos="567" w:leader="none"/>
        </w:tabs>
        <w:rPr>
          <w:rFonts w:hint="eastAsia" w:ascii="宋体" w:hAnsi="宋体"/>
          <w:bCs/>
          <w:color w:val="auto"/>
          <w:szCs w:val="21"/>
          <w:highlight w:val="none"/>
          <w:shd w:val="clear" w:color="auto" w:fill="auto"/>
        </w:rPr>
      </w:pPr>
      <w:r>
        <w:rPr>
          <w:rFonts w:hint="eastAsia" w:ascii="宋体" w:hAnsi="宋体"/>
          <w:color w:val="auto"/>
          <w:szCs w:val="21"/>
          <w:highlight w:val="none"/>
          <w:shd w:val="clear" w:color="auto" w:fill="auto"/>
        </w:rPr>
        <w:t xml:space="preserve">采购内容：</w:t>
      </w:r>
      <w:r>
        <w:rPr>
          <w:rFonts w:hint="eastAsia" w:ascii="宋体" w:hAnsi="宋体" w:cs="宋体"/>
          <w:color w:val="auto"/>
          <w:szCs w:val="21"/>
          <w:highlight w:val="none"/>
          <w:shd w:val="clear" w:color="auto" w:fill="auto"/>
          <w:lang w:eastAsia="zh-CN"/>
        </w:rPr>
        <w:t xml:space="preserve">2026-2027年3台VOCs设备运维</w:t>
      </w:r>
      <w:r/>
    </w:p>
    <w:p>
      <w:pPr>
        <w:numPr>
          <w:ilvl w:val="0"/>
          <w:numId w:val="18"/>
        </w:numPr>
        <w:ind w:left="567" w:hanging="567"/>
        <w:keepLines w:val="0"/>
        <w:keepNext w:val="0"/>
        <w:pageBreakBefore w:val="0"/>
        <w:spacing w:line="400" w:lineRule="exact"/>
        <w:widowControl w:val="off"/>
        <w:tabs>
          <w:tab w:val="clear" w:pos="420" w:leader="none"/>
          <w:tab w:val="left" w:pos="567" w:leader="none"/>
        </w:tabs>
        <w:rPr>
          <w:rFonts w:hint="eastAsia" w:asciiTheme="minorEastAsia" w:hAnsiTheme="minorEastAsia" w:eastAsiaTheme="minorEastAsia" w:cstheme="minorEastAsia"/>
          <w:color w:val="auto"/>
          <w:szCs w:val="21"/>
          <w:highlight w:val="none"/>
          <w:shd w:val="clear" w:color="auto" w:fill="auto"/>
        </w:rPr>
      </w:pPr>
      <w:r>
        <w:rPr>
          <w:rFonts w:hint="eastAsia" w:asciiTheme="minorEastAsia" w:hAnsiTheme="minorEastAsia" w:eastAsiaTheme="minorEastAsia" w:cstheme="minorEastAsia"/>
          <w:color w:val="auto"/>
          <w:szCs w:val="21"/>
          <w:highlight w:val="none"/>
          <w:shd w:val="clear" w:color="auto" w:fill="auto"/>
        </w:rPr>
        <w:t xml:space="preserve">采购需求：</w:t>
      </w:r>
      <w:r>
        <w:rPr>
          <w:rFonts w:hint="eastAsia" w:ascii="宋体" w:hAnsi="宋体"/>
          <w:color w:val="auto"/>
          <w:highlight w:val="none"/>
          <w:shd w:val="clear" w:color="auto" w:fill="auto"/>
        </w:rPr>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1.项目背景及内容</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近年来，长三角地区臭氧及PM</w:t>
      </w:r>
      <w:r>
        <w:rPr>
          <w:rFonts w:hint="eastAsia" w:ascii="宋体" w:hAnsi="宋体" w:eastAsia="宋体" w:cs="宋体"/>
          <w:color w:val="auto"/>
          <w:sz w:val="21"/>
          <w:szCs w:val="21"/>
          <w:highlight w:val="none"/>
          <w:vertAlign w:val="subscript"/>
        </w:rPr>
        <w:t xml:space="preserve">2.5</w:t>
      </w:r>
      <w:r>
        <w:rPr>
          <w:rFonts w:hint="eastAsia" w:ascii="宋体" w:hAnsi="宋体" w:eastAsia="宋体" w:cs="宋体"/>
          <w:color w:val="auto"/>
          <w:sz w:val="21"/>
          <w:szCs w:val="21"/>
          <w:highlight w:val="none"/>
        </w:rPr>
        <w:t xml:space="preserve">复合污染特征日趋明显，VOCs作为其重要的臭氧污染前体物，其重要性也日趋凸显。为了充分了解苏州市VOCs的浓度、物种及时空变化，需要通过在线的VOCs分析仪，研究和分析本市环境空气VOCs化学构成、浓度水平、时空分布和演变特征，从而推动VOCs、臭氧和PM</w:t>
      </w:r>
      <w:r>
        <w:rPr>
          <w:rFonts w:hint="eastAsia" w:ascii="宋体" w:hAnsi="宋体" w:eastAsia="宋体" w:cs="宋体"/>
          <w:color w:val="auto"/>
          <w:sz w:val="21"/>
          <w:szCs w:val="21"/>
          <w:highlight w:val="none"/>
          <w:vertAlign w:val="subscript"/>
        </w:rPr>
        <w:t xml:space="preserve">2.5</w:t>
      </w:r>
      <w:r>
        <w:rPr>
          <w:rFonts w:hint="eastAsia" w:ascii="宋体" w:hAnsi="宋体" w:eastAsia="宋体" w:cs="宋体"/>
          <w:color w:val="auto"/>
          <w:sz w:val="21"/>
          <w:szCs w:val="21"/>
          <w:highlight w:val="none"/>
        </w:rPr>
        <w:t xml:space="preserve">污染治理的长效评估研究机制的建立，提升环境大气挥发性有机物及大气复合污染防治工作的科学化、精细化水平，规范开展环境空气VOCs</w:t>
      </w:r>
      <w:r>
        <w:rPr>
          <w:rFonts w:hint="eastAsia" w:ascii="宋体" w:hAnsi="宋体" w:eastAsia="宋体" w:cs="宋体"/>
          <w:bCs/>
          <w:color w:val="auto"/>
          <w:sz w:val="21"/>
          <w:szCs w:val="21"/>
          <w:highlight w:val="none"/>
        </w:rPr>
        <w:t xml:space="preserve">自动监测，持续获取高分辨率的、准确可靠的VOCs观测数据也变得尤为重要</w:t>
      </w:r>
      <w:r>
        <w:rPr>
          <w:rFonts w:hint="eastAsia" w:ascii="宋体" w:hAnsi="宋体" w:eastAsia="宋体" w:cs="宋体"/>
          <w:color w:val="auto"/>
          <w:sz w:val="21"/>
          <w:szCs w:val="21"/>
          <w:highlight w:val="none"/>
        </w:rPr>
        <w:t xml:space="preserve">。</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本项目为苏州市环境空气VOCs</w:t>
      </w:r>
      <w:r>
        <w:rPr>
          <w:rFonts w:hint="eastAsia" w:ascii="宋体" w:hAnsi="宋体" w:eastAsia="宋体" w:cs="宋体"/>
          <w:bCs/>
          <w:color w:val="auto"/>
          <w:sz w:val="21"/>
          <w:szCs w:val="21"/>
          <w:highlight w:val="none"/>
        </w:rPr>
        <w:t xml:space="preserve">自动监测运维服务</w:t>
      </w:r>
      <w:r>
        <w:rPr>
          <w:rFonts w:hint="eastAsia" w:ascii="宋体" w:hAnsi="宋体" w:eastAsia="宋体" w:cs="宋体"/>
          <w:color w:val="auto"/>
          <w:sz w:val="21"/>
          <w:szCs w:val="21"/>
          <w:highlight w:val="none"/>
        </w:rPr>
        <w:t xml:space="preserve">。在合同期内，</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应对站房内所有的相关设备进行系统的年度维护保养和预防性维护工作。在此期间，需提供监测系统正常运行所需备品备件、耗材、标准物质等以及日常运行维护、仪器性能检验及校准、仪器维修等保证系统正常运行所需服务，包括用电费用及网络通讯费用。运行维护方需确保监测系统的正常运行，确保可以向</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提供准确、可靠的监测数据。</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VOCs站站房内主要仪器设备包括：在线VOCs监测仪</w:t>
      </w:r>
      <w:r>
        <w:rPr>
          <w:rFonts w:hint="eastAsia" w:ascii="宋体" w:hAnsi="宋体" w:eastAsia="宋体" w:cs="宋体"/>
          <w:color w:val="auto"/>
          <w:sz w:val="21"/>
          <w:szCs w:val="21"/>
          <w:highlight w:val="none"/>
          <w:lang w:eastAsia="zh-CN"/>
        </w:rPr>
        <w:t xml:space="preserve">、太阳辐射紫外辐射监测系统</w:t>
      </w:r>
      <w:r>
        <w:rPr>
          <w:rFonts w:hint="eastAsia" w:ascii="宋体" w:hAnsi="宋体" w:eastAsia="宋体" w:cs="宋体"/>
          <w:color w:val="auto"/>
          <w:sz w:val="21"/>
          <w:szCs w:val="21"/>
          <w:highlight w:val="none"/>
        </w:rPr>
        <w:t xml:space="preserve">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详细</w:t>
      </w:r>
      <w:r>
        <w:rPr>
          <w:rFonts w:hint="eastAsia" w:ascii="宋体" w:hAnsi="宋体" w:eastAsia="宋体" w:cs="宋体"/>
          <w:color w:val="auto"/>
          <w:sz w:val="21"/>
          <w:szCs w:val="21"/>
          <w:highlight w:val="none"/>
        </w:rPr>
        <w:t xml:space="preserve">运行维护设备列表</w:t>
      </w:r>
      <w:r>
        <w:rPr>
          <w:rFonts w:hint="eastAsia" w:ascii="宋体" w:hAnsi="宋体" w:eastAsia="宋体" w:cs="宋体"/>
          <w:color w:val="auto"/>
          <w:sz w:val="21"/>
          <w:szCs w:val="21"/>
          <w:highlight w:val="none"/>
          <w:lang w:val="en-US" w:eastAsia="zh-CN"/>
        </w:rPr>
        <w:t xml:space="preserve">见下表。</w:t>
      </w:r>
      <w:r/>
    </w:p>
    <w:tbl>
      <w:tblPr>
        <w:tblStyle w:val="955"/>
        <w:tblW w:w="95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2126"/>
        <w:gridCol w:w="680"/>
        <w:gridCol w:w="1845"/>
        <w:gridCol w:w="2019"/>
        <w:gridCol w:w="2256"/>
      </w:tblGrid>
      <w:tr>
        <w:trPr>
          <w:jc w:val="center"/>
          <w:trHeight w:val="454"/>
        </w:trPr>
        <w:tc>
          <w:tcPr>
            <w:tcW w:w="65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序号</w:t>
            </w:r>
            <w:r/>
          </w:p>
        </w:tc>
        <w:tc>
          <w:tcPr>
            <w:tcW w:w="212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仪器名称</w:t>
            </w:r>
            <w:r/>
          </w:p>
        </w:tc>
        <w:tc>
          <w:tcPr>
            <w:tcW w:w="68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数量</w:t>
            </w:r>
            <w:r/>
          </w:p>
        </w:tc>
        <w:tc>
          <w:tcPr>
            <w:tcW w:w="184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仪器品牌及对应数量</w:t>
            </w:r>
            <w:r/>
          </w:p>
        </w:tc>
        <w:tc>
          <w:tcPr>
            <w:tcW w:w="201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仪器型号</w:t>
            </w:r>
            <w:r/>
          </w:p>
        </w:tc>
        <w:tc>
          <w:tcPr>
            <w:tcW w:w="225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auto"/>
                <w:sz w:val="21"/>
                <w:szCs w:val="21"/>
                <w:highlight w:val="none"/>
              </w:rPr>
              <w:outlineLvl w:val="9"/>
              <w:suppressLineNumbers w:val="0"/>
            </w:pPr>
            <w:r>
              <w:rPr>
                <w:rFonts w:hint="eastAsia" w:ascii="宋体" w:hAnsi="宋体" w:eastAsia="宋体" w:cs="宋体"/>
                <w:b/>
                <w:color w:val="auto"/>
                <w:sz w:val="21"/>
                <w:szCs w:val="21"/>
                <w:highlight w:val="none"/>
              </w:rPr>
              <w:t xml:space="preserve">运维地点</w:t>
            </w:r>
            <w:r/>
          </w:p>
        </w:tc>
      </w:tr>
      <w:tr>
        <w:trPr>
          <w:jc w:val="center"/>
          <w:trHeight w:val="454"/>
        </w:trPr>
        <w:tc>
          <w:tcPr>
            <w:tcW w:w="654"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1</w:t>
            </w:r>
            <w:r/>
          </w:p>
        </w:tc>
        <w:tc>
          <w:tcPr>
            <w:tcW w:w="2126"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在线VOCs监测仪</w:t>
            </w:r>
            <w:r/>
          </w:p>
        </w:tc>
        <w:tc>
          <w:tcPr>
            <w:tcW w:w="680"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3</w:t>
            </w:r>
            <w:r>
              <w:rPr>
                <w:rFonts w:hint="eastAsia" w:ascii="宋体" w:hAnsi="宋体" w:eastAsia="宋体" w:cs="宋体"/>
                <w:bCs/>
                <w:color w:val="auto"/>
                <w:sz w:val="21"/>
                <w:szCs w:val="21"/>
                <w:highlight w:val="none"/>
              </w:rPr>
              <w:t xml:space="preserve">套</w:t>
            </w:r>
            <w:r/>
          </w:p>
        </w:tc>
        <w:tc>
          <w:tcPr>
            <w:tcW w:w="184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广州禾信</w:t>
            </w:r>
            <w:r/>
          </w:p>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套）</w:t>
            </w:r>
            <w:r/>
          </w:p>
        </w:tc>
        <w:tc>
          <w:tcPr>
            <w:tcW w:w="201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ACGCMS1000</w:t>
            </w:r>
            <w:r/>
          </w:p>
        </w:tc>
        <w:tc>
          <w:tcPr>
            <w:tcW w:w="225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方洲公园、文正小学</w:t>
            </w:r>
            <w:r/>
          </w:p>
        </w:tc>
      </w:tr>
      <w:tr>
        <w:trPr>
          <w:jc w:val="center"/>
          <w:trHeight w:val="454"/>
        </w:trPr>
        <w:tc>
          <w:tcPr>
            <w:tcW w:w="654"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2126"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680"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r>
            <w:r/>
          </w:p>
        </w:tc>
        <w:tc>
          <w:tcPr>
            <w:tcW w:w="184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武汉天虹</w:t>
            </w:r>
            <w:r/>
          </w:p>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套）</w:t>
            </w:r>
            <w:r/>
          </w:p>
        </w:tc>
        <w:tc>
          <w:tcPr>
            <w:tcW w:w="201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color w:val="auto"/>
                <w:sz w:val="21"/>
                <w:szCs w:val="21"/>
                <w:highlight w:val="none"/>
              </w:rPr>
              <w:t xml:space="preserve">TH-300B</w:t>
            </w:r>
            <w:r/>
          </w:p>
        </w:tc>
        <w:tc>
          <w:tcPr>
            <w:tcW w:w="225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val="en-US" w:eastAsia="zh-CN"/>
              </w:rPr>
              <w:t xml:space="preserve">金山浜社区</w:t>
            </w:r>
            <w:r/>
          </w:p>
        </w:tc>
      </w:tr>
      <w:tr>
        <w:trPr>
          <w:jc w:val="center"/>
          <w:trHeight w:val="454"/>
        </w:trPr>
        <w:tc>
          <w:tcPr>
            <w:tcW w:w="65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eastAsia="zh-CN"/>
              </w:rPr>
              <w:outlineLvl w:val="9"/>
              <w:suppressLineNumbers w:val="0"/>
            </w:pPr>
            <w:r>
              <w:rPr>
                <w:rFonts w:hint="eastAsia" w:ascii="宋体" w:hAnsi="宋体" w:eastAsia="宋体" w:cs="宋体"/>
                <w:color w:val="auto"/>
                <w:sz w:val="21"/>
                <w:szCs w:val="21"/>
                <w:highlight w:val="none"/>
                <w:lang w:val="en-US" w:eastAsia="zh-CN"/>
              </w:rPr>
              <w:t xml:space="preserve">2</w:t>
            </w:r>
            <w:r/>
          </w:p>
        </w:tc>
        <w:tc>
          <w:tcPr>
            <w:tcW w:w="212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太阳辐射紫外辐射监测系统</w:t>
            </w:r>
            <w:r/>
          </w:p>
        </w:tc>
        <w:tc>
          <w:tcPr>
            <w:tcW w:w="68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outlineLvl w:val="9"/>
              <w:suppressLineNumbers w:val="0"/>
            </w:pPr>
            <w:r>
              <w:rPr>
                <w:rFonts w:hint="eastAsia" w:ascii="宋体" w:hAnsi="宋体" w:eastAsia="宋体" w:cs="宋体"/>
                <w:bCs/>
                <w:color w:val="auto"/>
                <w:sz w:val="21"/>
                <w:szCs w:val="21"/>
                <w:highlight w:val="none"/>
              </w:rPr>
              <w:t xml:space="preserve">3套</w:t>
            </w:r>
            <w:r/>
          </w:p>
        </w:tc>
        <w:tc>
          <w:tcPr>
            <w:tcW w:w="184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北京旗云</w:t>
            </w:r>
            <w:r/>
          </w:p>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（3套）</w:t>
            </w:r>
            <w:r/>
          </w:p>
        </w:tc>
        <w:tc>
          <w:tcPr>
            <w:tcW w:w="201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Kipp&amp;Zonen SUV-A+Kipp&amp;Zonen SUV-B+</w:t>
            </w:r>
            <w:r>
              <w:rPr>
                <w:rFonts w:hint="eastAsia" w:ascii="宋体" w:hAnsi="宋体" w:eastAsia="宋体" w:cs="宋体"/>
                <w:color w:val="auto"/>
                <w:sz w:val="21"/>
                <w:szCs w:val="21"/>
                <w:highlight w:val="none"/>
                <w:lang w:val="en-US" w:eastAsia="zh-CN"/>
              </w:rPr>
              <w:t xml:space="preserve">EKO MS-093+EKO MS-80</w:t>
            </w:r>
            <w:r/>
          </w:p>
        </w:tc>
        <w:tc>
          <w:tcPr>
            <w:tcW w:w="225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方洲公园、文正小学、金山浜社区</w:t>
            </w:r>
            <w:r/>
          </w:p>
        </w:tc>
      </w:tr>
    </w:tbl>
    <w:p>
      <w:pPr>
        <w:pStyle w:val="956"/>
        <w:ind w:firstLine="567"/>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服务期限及目标</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2.1服务期限</w:t>
      </w: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个月，具体时间</w:t>
      </w:r>
      <w:r>
        <w:rPr>
          <w:rFonts w:hint="eastAsia" w:ascii="宋体" w:hAnsi="宋体" w:eastAsia="宋体" w:cs="宋体"/>
          <w:b w:val="0"/>
          <w:bCs w:val="0"/>
          <w:color w:val="auto"/>
          <w:sz w:val="21"/>
          <w:szCs w:val="21"/>
          <w:highlight w:val="none"/>
          <w:lang w:val="en-US" w:eastAsia="zh-CN"/>
        </w:rPr>
        <w:t xml:space="preserve">以采购人通知为准</w:t>
      </w:r>
      <w:r>
        <w:rPr>
          <w:rFonts w:hint="eastAsia" w:ascii="宋体" w:hAnsi="宋体" w:eastAsia="宋体" w:cs="宋体"/>
          <w:b w:val="0"/>
          <w:bCs w:val="0"/>
          <w:color w:val="auto"/>
          <w:sz w:val="21"/>
          <w:szCs w:val="21"/>
          <w:highlight w:val="none"/>
        </w:rPr>
        <w:t xml:space="preserve">。</w:t>
      </w:r>
      <w:r/>
    </w:p>
    <w:p>
      <w:pPr>
        <w:pStyle w:val="963"/>
        <w:ind w:firstLine="567"/>
        <w:keepLines w:val="0"/>
        <w:keepNext w:val="0"/>
        <w:pageBreakBefore w:val="0"/>
        <w:spacing w:line="40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b w:val="0"/>
          <w:bCs w:val="0"/>
          <w:color w:val="auto"/>
          <w:sz w:val="21"/>
          <w:szCs w:val="21"/>
          <w:highlight w:val="none"/>
          <w:lang w:val="en-US" w:eastAsia="zh-CN"/>
        </w:rPr>
        <w:t xml:space="preserve">2.2工作目标：</w:t>
      </w:r>
      <w:r>
        <w:rPr>
          <w:rFonts w:hint="eastAsia" w:ascii="宋体" w:hAnsi="宋体" w:eastAsia="宋体" w:cs="宋体"/>
          <w:b w:val="0"/>
          <w:bCs w:val="0"/>
          <w:color w:val="auto"/>
          <w:sz w:val="21"/>
          <w:szCs w:val="21"/>
          <w:highlight w:val="none"/>
        </w:rPr>
        <w:t xml:space="preserve">运维期</w:t>
      </w:r>
      <w:r>
        <w:rPr>
          <w:rFonts w:hint="eastAsia" w:ascii="宋体" w:hAnsi="宋体" w:eastAsia="宋体" w:cs="宋体"/>
          <w:color w:val="auto"/>
          <w:sz w:val="21"/>
          <w:szCs w:val="21"/>
          <w:highlight w:val="none"/>
        </w:rPr>
        <w:t xml:space="preserve">间，确保运维站点监测数据及时、准确、有效，运行质量达到以下指标：</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（1）单套设备的考核周期内小时有效数据获取率不低于80%；</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（2）单套设备的考核周期内小时质控数据合格率不低于90%；</w:t>
      </w:r>
      <w:r/>
    </w:p>
    <w:p>
      <w:pPr>
        <w:pStyle w:val="956"/>
        <w:ind w:firstLine="567"/>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（3）运维任务完成率100%。</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 服务</w:t>
      </w:r>
      <w:r>
        <w:rPr>
          <w:rFonts w:hint="eastAsia" w:ascii="宋体" w:hAnsi="宋体" w:eastAsia="宋体" w:cs="宋体"/>
          <w:b/>
          <w:bCs/>
          <w:color w:val="auto"/>
          <w:sz w:val="21"/>
          <w:szCs w:val="21"/>
          <w:highlight w:val="none"/>
          <w:lang w:val="en-US" w:eastAsia="zh-CN"/>
        </w:rPr>
        <w:t xml:space="preserve">需</w:t>
      </w:r>
      <w:r>
        <w:rPr>
          <w:rFonts w:hint="eastAsia" w:ascii="宋体" w:hAnsi="宋体" w:eastAsia="宋体" w:cs="宋体"/>
          <w:b/>
          <w:bCs/>
          <w:color w:val="auto"/>
          <w:sz w:val="21"/>
          <w:szCs w:val="21"/>
          <w:highlight w:val="none"/>
        </w:rPr>
        <w:t xml:space="preserve">求</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 运维实施要求</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通用要求</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（1）应对VOCs站房及辅助设备定期巡检，每周至少至现场巡检1次。</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（2）每周至少对分析仪的主要运行参数通过在线或者现场进行记录。</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（3）检查站房内温度是否保持在（20-28）℃，相对湿度保持在85%以下，在冬、夏季节应注意站房内外温差，应及时调整站房温度或对采样总管采取适当的温控措施，防止因温差造成采样装置出现冷凝水的现象。</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（4）检查数据采集、传输与网络通讯是否正常。</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（5）检查各种运维工具、仪器耗材、备件是否完好齐全。</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（6）检查电源等辅助设备的运行状况是否正常。</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（7）检查各种消防、安全设施是否完好齐全。</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（8）检查采样管路（包括总管和支管）清洁度，清洗管路之后应做好检漏工作。</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（9）检查站房是否漏水，若有漏水情况及时进行修补工作。</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（10）维持站房内卫生整洁，包括线管路整洁、地面整洁等。</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（11）每周二12点前将各站点小时审核数据上传至平台。</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（12）每月运维人员应向</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汇报上月运维情况。</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（13）每月15日前备份并提交上月所有仪器设备的原始数据及带标识的审核数据，并提交上月运维记录、运维月度总结和下月计划等。</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参照中国环境监测总站发布的《国家环境空气监测网环境空气挥发性有机物连续自动监测质量控制技术规定（试行）》要求，每年抽取至少1个站点开展1次外部专业人员质控检查，提交检查报告，检查人员需经</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认可。</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3.1.2 </w:t>
      </w:r>
      <w:r>
        <w:rPr>
          <w:rFonts w:hint="eastAsia" w:ascii="宋体" w:hAnsi="宋体" w:eastAsia="宋体" w:cs="宋体"/>
          <w:color w:val="auto"/>
          <w:sz w:val="21"/>
          <w:szCs w:val="21"/>
          <w:highlight w:val="none"/>
        </w:rPr>
        <w:t xml:space="preserve">在线VOCs监测仪</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每天: </w:t>
      </w:r>
      <w:r>
        <w:rPr>
          <w:rFonts w:hint="eastAsia" w:ascii="宋体" w:hAnsi="宋体" w:eastAsia="宋体" w:cs="宋体"/>
          <w:color w:val="auto"/>
          <w:sz w:val="21"/>
          <w:szCs w:val="21"/>
          <w:highlight w:val="none"/>
        </w:rPr>
        <w:t xml:space="preserve">远程连接到仪器现场端进行检查，检查内容包括：</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（1）系统状态检查</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检查系统是否有报警等异常提示，以及富集/解析模块、分析模块的温度、气压、时间、流量、电压等重要参数是否正常。系统状态检查可通过远程或者现场检查的方式完成。</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（2）基线检查</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按照厂家说明书或作业指导书要求检查图谱基线（质谱应使用TIC 图）是否存在异常漂移和波动，特别是水分对基线的影响。如存在异常漂移和波动，应及时标识或剔除异常数据或对受影响的化合物进行重积分。</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（3）保留时间漂移</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根据保留时间前、中、后各段经常检出且浓度较高的特征VOCs组分检查保留时间漂移是否超出 0.5min，如超出要求应重新设置保留时间积分窗。重点关注漂移是否影响监测组分的自动积分，如有影响，应进行重积分。</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（4）质谱检测器内标响应检查</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对质谱内标化合物特征离子丰度进行检查，质谱内标定量离子峰面积变化应在校准曲线绘制时离子峰面积的 50%～150%范围内。如系统具备氟利昂11、12、113等天然源组分的检测能力，可将其作为天然内标系统定量稳定性，具体检查方法与合格标准应根据系统作业指导书执行。</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（5）数据标识与重积分</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日审核结束后，应对异常数据进行无效标识或剔除，并对需要进行重积分的谱图和色谱峰进行重积分。</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关键物种检出率：常检出物种（乙烷、丙烷、正丁烷、乙烯、丙烯、乙炔、苯、甲苯、间对二甲苯）应100%检出。</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物种比值：甲苯/苯＞1，乙烷/乙烯＞1，丙烷/丙烯＞1。</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物种相关性：观察同源组分相关性（如正丁烷、异丁烷），偏差较大需进行仪器核查。</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（6）根据项目具体要求开展维护工作</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每日0时</w:t>
      </w:r>
      <w:r>
        <w:rPr>
          <w:rFonts w:hint="eastAsia" w:ascii="宋体" w:hAnsi="宋体" w:eastAsia="宋体" w:cs="宋体"/>
          <w:color w:val="auto"/>
          <w:sz w:val="21"/>
          <w:szCs w:val="21"/>
          <w:highlight w:val="none"/>
        </w:rPr>
        <w:t xml:space="preserve">核查中间点浓度（2ppb），当日12点前完成数据审核。</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每周：</w:t>
      </w:r>
      <w:r>
        <w:rPr>
          <w:rFonts w:hint="eastAsia" w:ascii="宋体" w:hAnsi="宋体" w:eastAsia="宋体" w:cs="宋体"/>
          <w:color w:val="auto"/>
          <w:sz w:val="21"/>
          <w:szCs w:val="21"/>
          <w:highlight w:val="none"/>
        </w:rPr>
        <w:t xml:space="preserve">现场巡检并根据要求做好现场检查工作，并做好相关记录，具体内容包括：</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（1）查看仪器及配套设备是否齐备，无丢失和损坏；钢瓶阀门是否漏气，记录钢瓶压力。</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（2）检查氢空一体机，按需更换变色硅胶，定期加水，并验证是否漏气。</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（3）按需更换采样头滤膜与CO</w:t>
      </w:r>
      <w:r>
        <w:rPr>
          <w:rFonts w:hint="eastAsia" w:ascii="宋体" w:hAnsi="宋体" w:eastAsia="宋体" w:cs="宋体"/>
          <w:color w:val="auto"/>
          <w:sz w:val="21"/>
          <w:szCs w:val="21"/>
          <w:highlight w:val="none"/>
          <w:vertAlign w:val="subscript"/>
        </w:rPr>
        <w:t xml:space="preserve">2</w:t>
      </w:r>
      <w:r>
        <w:rPr>
          <w:rFonts w:hint="eastAsia" w:ascii="宋体" w:hAnsi="宋体" w:eastAsia="宋体" w:cs="宋体"/>
          <w:color w:val="auto"/>
          <w:sz w:val="21"/>
          <w:szCs w:val="21"/>
          <w:highlight w:val="none"/>
        </w:rPr>
        <w:t xml:space="preserve">去除管，并对系统进行验漏。</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（4）检查冷阱制冷状态，按要求进行预防性维护。</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（5）检查内外标苏玛罐压力，按需更换。</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（6）检查清洗离子源。</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（7）根据每日的外标情况进行判断，如果30%所测量因子浓度偏差达到30%，应当月进行多点工作曲线的标定。</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零气空白检查：检查频率不低于每周一次，在环境空气分析结束后进行一次全系统空白检查，记录各化合物浓度作为其日常残留。各化合物日常残留应低于方法检出限且低于0.1nmol/mol，零气空白检查不合格的化合物应对其进行标识。若超过20%的化合物或臭氧生成潜势较高的重点VOCs组分不合格，应对系统进行检查，检查零气质量或清洗、更换系统管路。</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（9）单点质控检查：检查频率不低于每周一次，在零气空自检查结束后通入一次单点标准气体，标准气体浓度选择日常平均浓度或标准曲线中间点浓度(推荐核查浓度&lt;2 nmol/mol)。分析结束后，记录各化合物浓度并计算其与标准气体的相对误差，超过20%为不合格(质谱检测器放宽至30%)。如超过20%的化合物或臭氧生成潜势较高的重点VOCs(如苯系物等)不合格，则应检查系统，并重新绘制标准曲线。所有单点检查不合格目标化合物应对其进行明确标识，提醒相关单位慎重使用。</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每月：</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（1）更换采样滤膜，根据本地污染程度加大更换频率。</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对采样流量进行检查，采样流量示值与标准流量计示值的相对偏差应≤±5%（如采样流量为标况流量，标准流量计标况状态应与采样流量计一致；如采样流量为工况流量,标准流量计也应为工况流量）。相对偏差超出±5%时应进行检查或校准，同时对期间监测数据进行复核，不合格的数据应进行数据异常标识。</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每季度：</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（1）每季度应当进行GCMS调谐，并留存调谐报告。</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每季度内至少进行一次标准曲线测试，要求：至少6点不同浓度（参考浓度，含零点，0.5ppb、2ppb、4ppb、6ppb、8ppb、10ppb）的标气开展对仪器的标准曲线测试，以确定VOCs各组分定量的准确性，VOCs因子至少80%物种标准曲线的相关系数应满足r≥0.99且2ppb浓度偏差应小于30%。</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（3）冷凝器的清洁工作，并做好维护记录。</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每年：</w:t>
      </w:r>
      <w:r>
        <w:rPr>
          <w:rFonts w:hint="eastAsia" w:ascii="宋体" w:hAnsi="宋体" w:eastAsia="宋体" w:cs="宋体"/>
          <w:color w:val="auto"/>
          <w:sz w:val="21"/>
          <w:szCs w:val="21"/>
          <w:highlight w:val="none"/>
        </w:rPr>
        <w:t xml:space="preserve">仪器预防性维修维护和仪器性能指标的更新或测试，具体包括：</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（1）按照仪器说明书要求，开展仪器的关键部件的更换或清洗，并对仪器内部管路进行清洁或更换，使得仪器性能处于一个良好的水平。</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展预防性维护后或者仪器维修后，需要对仪器的检出限（连续通标准曲线最低浓度点7次开展测定）、校准曲线、期间准确度和精密度等指标进行重新测定，检出限应满足90%目标化合物≤0.15ppb，期间准确度和精密度检查，90%目标化合物的期间准确度≤20%，期间精密度应≤20%（质谱检测器放宽至30%）。</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3.1.3 </w:t>
      </w:r>
      <w:r>
        <w:rPr>
          <w:rFonts w:hint="eastAsia" w:ascii="宋体" w:hAnsi="宋体" w:eastAsia="宋体" w:cs="宋体"/>
          <w:color w:val="auto"/>
          <w:sz w:val="21"/>
          <w:szCs w:val="21"/>
          <w:highlight w:val="none"/>
        </w:rPr>
        <w:t xml:space="preserve">太阳辐射紫外辐射监测系统</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关注设备运行状态，及时排除仪器故障。</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3.1.4</w:t>
      </w:r>
      <w:r>
        <w:rPr>
          <w:rFonts w:hint="eastAsia" w:ascii="宋体" w:hAnsi="宋体" w:eastAsia="宋体" w:cs="宋体"/>
          <w:color w:val="auto"/>
          <w:sz w:val="21"/>
          <w:szCs w:val="21"/>
          <w:highlight w:val="none"/>
        </w:rPr>
        <w:t xml:space="preserve"> 辅助设施</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零气、氢气发生器：</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（1）定期检查零气发生器的温度控制和压力控制是否正常，气路是否漏气。</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（2）定期检查并排空空气压缩机储气瓶中的积水。</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（3）按照仪器要求，对零气、氢气发生器中的分子筛、活性炭、氧化剂等气体净化材料进行定期更换。若发现各监测项目的监测误差和零点漂移明显增大，应查明原因，及时更换净化材料。</w:t>
      </w:r>
      <w:r/>
    </w:p>
    <w:p>
      <w:pPr>
        <w:pStyle w:val="956"/>
        <w:ind w:firstLine="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（4）定期检查氢气用水的量，确保储水桶中有足够的水量供给。</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 质量控制要求</w:t>
      </w:r>
      <w:r/>
    </w:p>
    <w:p>
      <w:pPr>
        <w:pStyle w:val="956"/>
        <w:ind w:firstLine="567"/>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根据国家及省市有关质量管理和质量控制规范，认真落实质量管理制度，做好质控工作并填写相应记录。（磋商响应单位须在响应文件中对质量管理控制措施做出详细的说明）</w:t>
      </w:r>
      <w:r/>
    </w:p>
    <w:p>
      <w:pPr>
        <w:pStyle w:val="956"/>
        <w:ind w:firstLine="567"/>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3.2.1 量值溯源要求</w:t>
      </w:r>
      <w:r/>
    </w:p>
    <w:p>
      <w:pPr>
        <w:pStyle w:val="956"/>
        <w:ind w:firstLine="567"/>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（1）使用的标准物质必须是有证标准物质，且在有效使用期限内。</w:t>
      </w:r>
      <w:r/>
    </w:p>
    <w:p>
      <w:pPr>
        <w:pStyle w:val="956"/>
        <w:ind w:firstLine="567"/>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（2）使用的仪表必须具有计量器具的认证，并定期到计量部门进行检定。</w:t>
      </w:r>
      <w:r/>
    </w:p>
    <w:p>
      <w:pPr>
        <w:pStyle w:val="956"/>
        <w:ind w:firstLine="567"/>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（3）成交供应商需自备一台经计量部门认定的流量计用于日常维护标定工作。</w:t>
      </w:r>
      <w:r/>
    </w:p>
    <w:p>
      <w:pPr>
        <w:pStyle w:val="956"/>
        <w:ind w:firstLine="567"/>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3.2.2 异常数据的检验</w:t>
      </w:r>
      <w:r/>
    </w:p>
    <w:p>
      <w:pPr>
        <w:pStyle w:val="956"/>
        <w:ind w:firstLine="567"/>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对检测数据异常值进行分析，查明原因，如属于系统或仪器故障，应在24小时内处理并上报采购人；如为突发事件，应立即通知采购点位，并配合采购人进行应急监测工作的开展。（磋商响应单位在响应文件中说明异常数据处理的方法。）</w:t>
      </w:r>
      <w:r/>
    </w:p>
    <w:p>
      <w:pPr>
        <w:pStyle w:val="956"/>
        <w:ind w:firstLine="567"/>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3.2.3 质量控制资料整理</w:t>
      </w:r>
      <w:r/>
    </w:p>
    <w:p>
      <w:pPr>
        <w:pStyle w:val="956"/>
        <w:ind w:firstLine="567"/>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各种技术与质量文件均保持现行有效，可根据管理需要进行调整或修订，巡检记录、维修记录、日常检查等质量保证与质量控制记录均须按要求进行填写，必须有操作人员的签字才算有效，每年进行整理归档考核。</w:t>
      </w:r>
      <w:r/>
    </w:p>
    <w:p>
      <w:pPr>
        <w:pStyle w:val="956"/>
        <w:ind w:firstLine="567"/>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3.2.4 其他质控要求详见《国家环境空气监测网环境空气挥发性有机物连续自动监测质量控制技术规定（试行）》。</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 应急处理</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磋商响应单位应</w:t>
      </w:r>
      <w:r>
        <w:rPr>
          <w:rFonts w:hint="eastAsia" w:ascii="宋体" w:hAnsi="宋体" w:eastAsia="宋体" w:cs="宋体"/>
          <w:color w:val="auto"/>
          <w:sz w:val="21"/>
          <w:szCs w:val="21"/>
          <w:highlight w:val="none"/>
        </w:rPr>
        <w:t xml:space="preserve">对应急工作进行合理规划并制定可行计划，各要素考虑充分，同时根据招标文件技术要求，列出各种应急情景、发现应急情况的方法、应急措施及解决方案，系统地阐述判断和解决方法，制定完善的工作流程。</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证满足生态环境部门对空气自动监测站仪器设备故障的响应时间要求，当仪器设备每日8时～22时出现故障，应在1小时之内响应，4小时内到达现场解决（通信线路、电力线路故障除外，但应及时与相关部门联系积极解决）。若仪器故障无法排除，运维单位必须在72小时内提供并更换</w:t>
      </w:r>
      <w:r>
        <w:rPr>
          <w:rFonts w:hint="eastAsia" w:ascii="宋体" w:hAnsi="宋体" w:cs="宋体"/>
          <w:color w:val="auto"/>
          <w:sz w:val="21"/>
          <w:szCs w:val="21"/>
          <w:highlight w:val="none"/>
          <w:lang w:val="en-US" w:eastAsia="zh-CN"/>
        </w:rPr>
        <w:t xml:space="preserve">符合国家要求</w:t>
      </w:r>
      <w:r>
        <w:rPr>
          <w:rFonts w:hint="eastAsia" w:ascii="宋体" w:hAnsi="宋体" w:eastAsia="宋体" w:cs="宋体"/>
          <w:color w:val="auto"/>
          <w:sz w:val="21"/>
          <w:szCs w:val="21"/>
          <w:highlight w:val="none"/>
        </w:rPr>
        <w:t xml:space="preserve">的备机，保证自动站正常运行。</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 保障方案</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3.4.1 </w:t>
      </w:r>
      <w:r>
        <w:rPr>
          <w:rFonts w:hint="eastAsia" w:ascii="宋体" w:hAnsi="宋体" w:eastAsia="宋体" w:cs="宋体"/>
          <w:b w:val="0"/>
          <w:bCs w:val="0"/>
          <w:color w:val="auto"/>
          <w:sz w:val="21"/>
          <w:szCs w:val="21"/>
          <w:highlight w:val="none"/>
        </w:rPr>
        <w:t xml:space="preserve">运维耗材零件</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运维期内设备正常运转的耗材、零件和维修所产生的费用支出均由运维单位承担，不再额外向</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进行收取。</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配件耗材包含但不限于如下内容，成交单位应在合同签订后两个月内将下表中标“*”号的配件提供至采购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指定地点，以备应急使用（氦气、氮气可用完后充气）：</w:t>
      </w:r>
      <w:r/>
    </w:p>
    <w:tbl>
      <w:tblPr>
        <w:tblStyle w:val="955"/>
        <w:tblW w:w="9812"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080"/>
        <w:gridCol w:w="2510"/>
        <w:gridCol w:w="1080"/>
        <w:gridCol w:w="1523"/>
        <w:gridCol w:w="3619"/>
      </w:tblGrid>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配件名称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361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规格</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4种内标混合气</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瓶</w:t>
            </w:r>
            <w:r/>
          </w:p>
        </w:tc>
        <w:tc>
          <w:tcPr>
            <w:tcBorders>
              <w:top w:val="single" w:color="000000" w:sz="4" w:space="0"/>
              <w:left w:val="single" w:color="000000" w:sz="4" w:space="0"/>
              <w:bottom w:val="single" w:color="000000" w:sz="4" w:space="0"/>
              <w:right w:val="single" w:color="000000" w:sz="4" w:space="0"/>
            </w:tcBorders>
            <w:tcW w:w="361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116组分混合标气</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瓶</w:t>
            </w:r>
            <w:r/>
          </w:p>
        </w:tc>
        <w:tc>
          <w:tcPr>
            <w:tcBorders>
              <w:top w:val="single" w:color="000000" w:sz="4" w:space="0"/>
              <w:left w:val="single" w:color="000000" w:sz="4" w:space="0"/>
              <w:bottom w:val="single" w:color="000000" w:sz="4" w:space="0"/>
              <w:right w:val="single" w:color="000000" w:sz="4" w:space="0"/>
            </w:tcBorders>
            <w:tcW w:w="361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氮气40L</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瓶</w:t>
            </w:r>
            <w:r/>
          </w:p>
        </w:tc>
        <w:tc>
          <w:tcPr>
            <w:tcBorders>
              <w:top w:val="single" w:color="000000" w:sz="4" w:space="0"/>
              <w:left w:val="single" w:color="000000" w:sz="4" w:space="0"/>
              <w:bottom w:val="single" w:color="000000" w:sz="4" w:space="0"/>
              <w:right w:val="single" w:color="000000" w:sz="4" w:space="0"/>
            </w:tcBorders>
            <w:tcW w:w="361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99.999%，40L，15MPa</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氦气40L</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瓶</w:t>
            </w:r>
            <w:r/>
          </w:p>
        </w:tc>
        <w:tc>
          <w:tcPr>
            <w:tcBorders>
              <w:top w:val="single" w:color="000000" w:sz="4" w:space="0"/>
              <w:left w:val="single" w:color="000000" w:sz="4" w:space="0"/>
              <w:bottom w:val="single" w:color="000000" w:sz="4" w:space="0"/>
              <w:right w:val="single" w:color="000000" w:sz="4" w:space="0"/>
            </w:tcBorders>
            <w:tcW w:w="361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99.999%，40L，15MPa</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小过滤膜</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盒</w:t>
            </w:r>
            <w:r/>
          </w:p>
        </w:tc>
        <w:tc>
          <w:tcPr>
            <w:tcBorders>
              <w:top w:val="single" w:color="000000" w:sz="4" w:space="0"/>
              <w:left w:val="single" w:color="000000" w:sz="4" w:space="0"/>
              <w:bottom w:val="single" w:color="000000" w:sz="4" w:space="0"/>
              <w:right w:val="single" w:color="000000" w:sz="4" w:space="0"/>
            </w:tcBorders>
            <w:tcW w:w="361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φ6mm，0.2μm，每盒50片</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大过滤膜</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盒</w:t>
            </w:r>
            <w:r/>
          </w:p>
        </w:tc>
        <w:tc>
          <w:tcPr>
            <w:tcBorders>
              <w:top w:val="single" w:color="000000" w:sz="4" w:space="0"/>
              <w:left w:val="single" w:color="000000" w:sz="4" w:space="0"/>
              <w:bottom w:val="single" w:color="000000" w:sz="4" w:space="0"/>
              <w:right w:val="single" w:color="000000" w:sz="4" w:space="0"/>
            </w:tcBorders>
            <w:tcW w:w="361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φ47mm，0.2μm，每盒50片</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变色硅胶</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瓶</w:t>
            </w:r>
            <w:r/>
          </w:p>
        </w:tc>
        <w:tc>
          <w:tcPr>
            <w:tcBorders>
              <w:top w:val="single" w:color="000000" w:sz="4" w:space="0"/>
              <w:left w:val="single" w:color="000000" w:sz="4" w:space="0"/>
              <w:bottom w:val="single" w:color="000000" w:sz="4" w:space="0"/>
              <w:right w:val="single" w:color="000000" w:sz="4" w:space="0"/>
            </w:tcBorders>
            <w:tcW w:w="361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500g</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烧碱石棉</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瓶</w:t>
            </w:r>
            <w:r/>
          </w:p>
        </w:tc>
        <w:tc>
          <w:tcPr>
            <w:tcBorders>
              <w:top w:val="single" w:color="000000" w:sz="4" w:space="0"/>
              <w:left w:val="single" w:color="000000" w:sz="4" w:space="0"/>
              <w:bottom w:val="single" w:color="000000" w:sz="4" w:space="0"/>
              <w:right w:val="single" w:color="000000" w:sz="4" w:space="0"/>
            </w:tcBorders>
            <w:tcW w:w="361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100g</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泵维修包</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361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KNF采样泵</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超纯水</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瓶</w:t>
            </w:r>
            <w:r/>
          </w:p>
        </w:tc>
        <w:tc>
          <w:tcPr>
            <w:tcBorders>
              <w:top w:val="single" w:color="000000" w:sz="4" w:space="0"/>
              <w:left w:val="single" w:color="000000" w:sz="4" w:space="0"/>
              <w:bottom w:val="single" w:color="000000" w:sz="4" w:space="0"/>
              <w:right w:val="single" w:color="000000" w:sz="4" w:space="0"/>
            </w:tcBorders>
            <w:tcW w:w="361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4.5L/瓶</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氢空一体机</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361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备机</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氢气气体纯化器</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3619"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适配禾信AC-GCMS1000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氮气气体纯化器</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361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氦气气体纯化器</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361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气体净化载气过滤器</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361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真空泵油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瓶</w:t>
            </w:r>
            <w:r/>
          </w:p>
        </w:tc>
        <w:tc>
          <w:tcPr>
            <w:tcBorders>
              <w:top w:val="single" w:color="000000" w:sz="4" w:space="0"/>
              <w:left w:val="single" w:color="000000" w:sz="4" w:space="0"/>
              <w:bottom w:val="single" w:color="000000" w:sz="4" w:space="0"/>
              <w:right w:val="single" w:color="000000" w:sz="4" w:space="0"/>
            </w:tcBorders>
            <w:tcW w:w="361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FID喷嘴</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361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隔垫</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包</w:t>
            </w:r>
            <w:r/>
          </w:p>
        </w:tc>
        <w:tc>
          <w:tcPr>
            <w:tcBorders>
              <w:top w:val="single" w:color="000000" w:sz="4" w:space="0"/>
              <w:left w:val="single" w:color="000000" w:sz="4" w:space="0"/>
              <w:bottom w:val="single" w:color="000000" w:sz="4" w:space="0"/>
              <w:right w:val="single" w:color="000000" w:sz="4" w:space="0"/>
            </w:tcBorders>
            <w:tcW w:w="361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灯丝</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361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色谱柱螺帽</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361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密封垫</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361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去离子柱</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361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干燥硅胶</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包</w:t>
            </w:r>
            <w:r/>
          </w:p>
        </w:tc>
        <w:tc>
          <w:tcPr>
            <w:tcBorders>
              <w:top w:val="single" w:color="000000" w:sz="4" w:space="0"/>
              <w:left w:val="single" w:color="000000" w:sz="4" w:space="0"/>
              <w:bottom w:val="single" w:color="000000" w:sz="4" w:space="0"/>
              <w:right w:val="single" w:color="000000" w:sz="4" w:space="0"/>
            </w:tcBorders>
            <w:tcW w:w="361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进气口滤芯</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361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除微粒滤芯</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361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滤芯</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361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前处理模块（含冷阱）</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361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加热模块</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361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MS色谱柱</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361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30m*250μm*1.4μm，适配禾信AC-GCMS1000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FID色谱柱</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361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15m*530μm*15μm，适配禾信AC-GCMS1000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right="45"/>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氢气气体纯化器</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3619"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适配天虹TH300B</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right="45"/>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氮气气体纯化器</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361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right="45"/>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氦气气体纯化器</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361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right="45"/>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真空泵油</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瓶</w:t>
            </w:r>
            <w:r/>
          </w:p>
        </w:tc>
        <w:tc>
          <w:tcPr>
            <w:tcBorders>
              <w:top w:val="single" w:color="000000" w:sz="4" w:space="0"/>
              <w:left w:val="single" w:color="000000" w:sz="4" w:space="0"/>
              <w:bottom w:val="single" w:color="000000" w:sz="4" w:space="0"/>
              <w:right w:val="single" w:color="000000" w:sz="4" w:space="0"/>
            </w:tcBorders>
            <w:tcW w:w="361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right="45"/>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灯丝</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361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right="45"/>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色谱柱螺帽</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361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密封垫</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361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前处理模块（含冷阱）</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3619"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MS色谱柱</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361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60m*250μm*1.4μm，适配天虹TH300B</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FID色谱柱</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361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25m*320μm*8μm，适配天虹TH300B</w:t>
            </w:r>
            <w:r/>
          </w:p>
        </w:tc>
      </w:tr>
    </w:tbl>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3.4.2 </w:t>
      </w:r>
      <w:r>
        <w:rPr>
          <w:rFonts w:hint="eastAsia" w:ascii="宋体" w:hAnsi="宋体" w:eastAsia="宋体" w:cs="宋体"/>
          <w:color w:val="auto"/>
          <w:sz w:val="21"/>
          <w:szCs w:val="21"/>
          <w:highlight w:val="none"/>
        </w:rPr>
        <w:t xml:space="preserve">标准物质及计量器具</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所有标准物质均应在有效期内使用。标准物质的证书原件或复印件应放置于自动站内。所有标准物质的证书及传递记录必须存档，且现场可查；现场应放置至少一年的标准物质的证书及传递记录。现场标准气体钢瓶上应附标识牌，标明标气来源、标气级别、有效期、生产厂家等信息。如标气为多个站共用，则应提供说明并确保正常运维和检查。标准气体的等级应满足以下要求：</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VOCs标准气体应使用高质量的混合标气，等级不低于Linde或Scott的混合标准气体或获得国家标物证书、NIST认证的其它混合标准气体，使用渗透管作为内标物的监测仪，应根据使用年限按时更换渗透管。每次更换前后的标准气体或渗透管应做好比对，确保误差应在10%之内。</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（2）如使用苏玛罐进行标定或者外标的使用，应提供所配置苏玛罐所使用的标气证书复印件，且确保标气在有效期内进行配置，使用。</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（3）需配备有专业运维用校准设备、流量计等维修器具一套，用于校准监测仪器的设备（流量计、温度计、气压计）必须每年按时计量检定。</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3.5 数据审核及数据分析</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3.5.1 数据审核</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运维人员根据所审核数据同时段内的空气质量和仪器运行状态，包括报警，关键参数等信息对数据进行审核，异常及无效数据须附上详细的审核理由；根据中国环境监测总站</w:t>
      </w:r>
      <w:r>
        <w:rPr>
          <w:rFonts w:hint="eastAsia" w:ascii="宋体" w:hAnsi="宋体" w:eastAsia="宋体" w:cs="宋体"/>
          <w:color w:val="auto"/>
          <w:sz w:val="21"/>
          <w:szCs w:val="21"/>
          <w:highlight w:val="none"/>
        </w:rPr>
        <w:t xml:space="preserve">《国家环境空气监测网环境空气挥发性有机物连续自动监测质量控制技术规定（试行）》</w:t>
      </w:r>
      <w:r>
        <w:rPr>
          <w:rFonts w:hint="eastAsia" w:ascii="宋体" w:hAnsi="宋体" w:eastAsia="宋体" w:cs="宋体"/>
          <w:color w:val="auto"/>
          <w:sz w:val="21"/>
          <w:szCs w:val="21"/>
          <w:highlight w:val="none"/>
          <w:lang w:val="en-US" w:eastAsia="zh-CN"/>
        </w:rPr>
        <w:t xml:space="preserve">等文件要求对数据有效性进行审核，每周二12点前将各站点小时审核数据上传至平台。每月15日前备份并提交上月所有仪器设备的原始数据及带标识的审核数据。</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3.5.2 数据分析</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响应单位对采购需求理解准确，提供全面、详细、具体可行的数据分析方案，能够全面、详细地分析VOCs监测数据，配合采购人识别区域污染物种类和含量，合理评估分析区域大气污染与治理。</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成交单位次月5日前须向</w:t>
      </w:r>
      <w:r>
        <w:rPr>
          <w:rFonts w:hint="eastAsia" w:ascii="宋体" w:hAnsi="宋体" w:eastAsia="宋体" w:cs="宋体"/>
          <w:b/>
          <w:bCs/>
          <w:color w:val="auto"/>
          <w:sz w:val="21"/>
          <w:szCs w:val="21"/>
          <w:highlight w:val="none"/>
          <w:lang w:eastAsia="zh-CN"/>
        </w:rPr>
        <w:t xml:space="preserve">采购人</w:t>
      </w:r>
      <w:r>
        <w:rPr>
          <w:rFonts w:hint="eastAsia" w:ascii="宋体" w:hAnsi="宋体" w:eastAsia="宋体" w:cs="宋体"/>
          <w:b/>
          <w:bCs/>
          <w:color w:val="auto"/>
          <w:sz w:val="21"/>
          <w:szCs w:val="21"/>
          <w:highlight w:val="none"/>
        </w:rPr>
        <w:t xml:space="preserve">提交上月VOCs组分分析报告，</w:t>
      </w:r>
      <w:r>
        <w:rPr>
          <w:rFonts w:hint="eastAsia" w:ascii="宋体" w:hAnsi="宋体" w:eastAsia="宋体" w:cs="宋体"/>
          <w:b/>
          <w:bCs/>
          <w:color w:val="auto"/>
          <w:sz w:val="21"/>
          <w:szCs w:val="21"/>
          <w:highlight w:val="none"/>
        </w:rPr>
        <w:t xml:space="preserve">202</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年</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月10日前提交半年度报告，202</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年1月10日前提供年度报告，</w:t>
      </w:r>
      <w:r>
        <w:rPr>
          <w:rFonts w:hint="eastAsia" w:ascii="宋体" w:hAnsi="宋体" w:eastAsia="宋体" w:cs="宋体"/>
          <w:b/>
          <w:bCs/>
          <w:color w:val="auto"/>
          <w:sz w:val="21"/>
          <w:szCs w:val="21"/>
          <w:highlight w:val="none"/>
        </w:rPr>
        <w:t xml:space="preserve">报告包括但不限于以下内容：</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三站点本月（半年度、年度）情况对比，本月（半年度、年度）各站点存在的高值及原因分析；</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各站点分物种展示面积堆叠图、百分比图；</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各站点分类别展示面积堆叠图、百分比图；</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三站点占比最高的物种，占比最高物种来源；</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三站点TVOC日均值；</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占比前十的VOCs组分，OFP、AFP前十；</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数据获取率及运维情况；</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质控数据合格率及质控数据分析；</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设备维修情况</w:t>
      </w:r>
      <w:r>
        <w:rPr>
          <w:rFonts w:hint="eastAsia" w:ascii="宋体" w:hAnsi="宋体" w:eastAsia="宋体" w:cs="宋体"/>
          <w:color w:val="auto"/>
          <w:sz w:val="21"/>
          <w:szCs w:val="21"/>
          <w:highlight w:val="none"/>
          <w:lang w:eastAsia="zh-CN"/>
        </w:rPr>
        <w:t xml:space="preserve">；</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太阳辐射紫外辐射数据汇总分析。</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rPr>
        <w:t xml:space="preserve">监督考核要求</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数据必须真实有效，响应单位近3年内，在环境监测服务活动中必须没有弄虚作假行为（请响应单位根据本单位实际情况承诺，若有不实，按提供虚假资料处理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磋商响应</w:t>
      </w:r>
      <w:r>
        <w:rPr>
          <w:rFonts w:hint="eastAsia" w:ascii="宋体" w:hAnsi="宋体" w:eastAsia="宋体" w:cs="宋体"/>
          <w:color w:val="auto"/>
          <w:sz w:val="21"/>
          <w:szCs w:val="21"/>
          <w:highlight w:val="none"/>
        </w:rPr>
        <w:t xml:space="preserve">及成交无效，并承担相关法律责任）。</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响应单位应承担监测数据的保密责任（签订保密协议），不得利用本项目的数据、档案或有关资料对外开展技术交流、业务联系、数据交换等。</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运维期间出现调整数据、修改参数、改动设备、质控结果与平台采集结果不一致、弄虚作假等违规行为的，一经查实采购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有权终止运维合同。</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对达不到运维要求或违规操作的，采购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有权终止运维合同。</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违反江苏省空气自动站管理办法等违规行为的，一经查实采购</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有权终止运维合同。</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 考核办法</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数据有效获取率考核：单套设备的考核周期内小时有效数据获取率不低于80%，如未达到，</w:t>
      </w:r>
      <w:r>
        <w:rPr>
          <w:rFonts w:hint="eastAsia" w:ascii="宋体" w:hAnsi="宋体" w:eastAsia="宋体" w:cs="宋体"/>
          <w:color w:val="auto"/>
          <w:sz w:val="21"/>
          <w:szCs w:val="21"/>
          <w:highlight w:val="none"/>
          <w:lang w:val="en-US" w:eastAsia="zh-CN"/>
        </w:rPr>
        <w:t xml:space="preserve">VOCs设备</w:t>
      </w:r>
      <w:r>
        <w:rPr>
          <w:rFonts w:hint="eastAsia" w:ascii="宋体" w:hAnsi="宋体" w:eastAsia="宋体" w:cs="宋体"/>
          <w:color w:val="auto"/>
          <w:sz w:val="21"/>
          <w:szCs w:val="21"/>
          <w:highlight w:val="none"/>
        </w:rPr>
        <w:t xml:space="preserve">每低1%扣5分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太阳紫外辐射设备</w:t>
      </w:r>
      <w:r>
        <w:rPr>
          <w:rFonts w:hint="eastAsia" w:ascii="宋体" w:hAnsi="宋体" w:eastAsia="宋体" w:cs="宋体"/>
          <w:color w:val="auto"/>
          <w:sz w:val="21"/>
          <w:szCs w:val="21"/>
          <w:highlight w:val="none"/>
        </w:rPr>
        <w:t xml:space="preserve">每低1%扣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。如当月有效数据获取率不满足80%的要求，则运维周期顺延1个月。</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质控数据合格率考核：单套设备的考核周期内小时质控数据合格率不低于90%，如未达到，每低1%扣5分。</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运维任务完成率考核：每月按时填写、整理和提交各类运维原始记录，如未按时完成，每次扣2分；按约定时间要求提交所有配件、耗材，交接清单和日常使用记录备查，如未按时完成，每次扣2分。</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报告提交情况考核：提供满足合同要求的VOCs组分分析报告，每少一份扣3分。</w:t>
      </w:r>
      <w:r/>
    </w:p>
    <w:p>
      <w:pPr>
        <w:pStyle w:val="956"/>
        <w:ind w:firstLine="567"/>
        <w:keepLines w:val="0"/>
        <w:keepNext w:val="0"/>
        <w:pageBreakBefore w:val="0"/>
        <w:spacing w:after="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运维机构存在下列行为之一的，苏州市环境监测站将按严重违约行为追究运维机构责任，并将其列入不合格供应商。</w:t>
      </w:r>
      <w:r/>
    </w:p>
    <w:p>
      <w:pPr>
        <w:pStyle w:val="956"/>
        <w:ind w:firstLine="567"/>
        <w:keepLines w:val="0"/>
        <w:keepNext w:val="0"/>
        <w:pageBreakBefore w:val="0"/>
        <w:spacing w:after="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（1）当仪器故障导致长周期停运情况（超过72小时）时，未书面汇报</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的；仪器故障导致长周期停运情况，经苏州市环境监测站书面审核，批复限定恢复时间后，仍不能按要求的时间节点恢复数据的；不及时提交运行记录和总结报告超过3次的。</w:t>
      </w:r>
      <w:r/>
    </w:p>
    <w:p>
      <w:pPr>
        <w:pStyle w:val="956"/>
        <w:ind w:firstLine="567"/>
        <w:keepLines w:val="0"/>
        <w:keepNext w:val="0"/>
        <w:pageBreakBefore w:val="0"/>
        <w:spacing w:after="0"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（2）运维机构（含人员）弄虚作假编造相关运维记录的；修改、伪造监测数据的。</w:t>
      </w:r>
      <w:r/>
    </w:p>
    <w:p>
      <w:pPr>
        <w:ind w:firstLine="422"/>
        <w:jc w:val="center"/>
        <w:keepLines w:val="0"/>
        <w:keepNext w:val="0"/>
        <w:pageBreakBefore w:val="0"/>
        <w:spacing w:line="400" w:lineRule="exact"/>
        <w:rPr>
          <w:rFonts w:hint="eastAsia" w:ascii="宋体" w:hAnsi="宋体" w:eastAsia="宋体" w:cs="宋体"/>
          <w:b/>
          <w:bCs/>
          <w:color w:val="auto"/>
          <w:sz w:val="21"/>
          <w:szCs w:val="21"/>
          <w:highlight w:val="none"/>
          <w:lang w:val="de-DE"/>
        </w:rPr>
      </w:pPr>
      <w:r>
        <w:rPr>
          <w:rFonts w:hint="eastAsia" w:ascii="宋体" w:hAnsi="宋体" w:eastAsia="宋体" w:cs="宋体"/>
          <w:b/>
          <w:bCs/>
          <w:color w:val="auto"/>
          <w:sz w:val="21"/>
          <w:szCs w:val="21"/>
          <w:highlight w:val="none"/>
          <w:lang w:val="de-DE"/>
        </w:rPr>
        <w:t xml:space="preserve">苏州市环境空气VOC</w:t>
      </w:r>
      <w:r>
        <w:rPr>
          <w:rFonts w:hint="eastAsia" w:ascii="宋体" w:hAnsi="宋体" w:eastAsia="宋体" w:cs="宋体"/>
          <w:b/>
          <w:bCs/>
          <w:color w:val="auto"/>
          <w:sz w:val="21"/>
          <w:szCs w:val="21"/>
          <w:highlight w:val="none"/>
        </w:rPr>
        <w:t xml:space="preserve">s</w:t>
      </w:r>
      <w:r>
        <w:rPr>
          <w:rFonts w:hint="eastAsia" w:ascii="宋体" w:hAnsi="宋体" w:eastAsia="宋体" w:cs="宋体"/>
          <w:b/>
          <w:bCs/>
          <w:color w:val="auto"/>
          <w:sz w:val="21"/>
          <w:szCs w:val="21"/>
          <w:highlight w:val="none"/>
          <w:lang w:val="de-DE"/>
        </w:rPr>
        <w:t xml:space="preserve">自动监测运维服务</w:t>
      </w:r>
      <w:r>
        <w:rPr>
          <w:rFonts w:hint="eastAsia" w:ascii="宋体" w:hAnsi="宋体" w:eastAsia="宋体" w:cs="宋体"/>
          <w:b/>
          <w:bCs/>
          <w:color w:val="auto"/>
          <w:sz w:val="21"/>
          <w:szCs w:val="21"/>
          <w:highlight w:val="none"/>
        </w:rPr>
        <w:t xml:space="preserve">考核结果表</w:t>
      </w:r>
      <w:r/>
    </w:p>
    <w:tbl>
      <w:tblPr>
        <w:tblStyle w:val="955"/>
        <w:tblW w:w="10156"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730"/>
        <w:gridCol w:w="6373"/>
        <w:gridCol w:w="636"/>
        <w:gridCol w:w="706"/>
      </w:tblGrid>
      <w:tr>
        <w:trPr>
          <w:trHeight w:val="454"/>
        </w:trPr>
        <w:tc>
          <w:tcPr>
            <w:tcW w:w="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序号</w:t>
            </w:r>
            <w:r/>
          </w:p>
        </w:tc>
        <w:tc>
          <w:tcPr>
            <w:tcW w:w="1730"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考核指标</w:t>
            </w:r>
            <w:r/>
          </w:p>
        </w:tc>
        <w:tc>
          <w:tcPr>
            <w:tcW w:w="63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考核标准</w:t>
            </w:r>
            <w:r/>
          </w:p>
        </w:tc>
        <w:tc>
          <w:tcPr>
            <w:tcW w:w="636"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扣分</w:t>
            </w:r>
            <w:r/>
          </w:p>
        </w:tc>
        <w:tc>
          <w:tcPr>
            <w:tcW w:w="706"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备注</w:t>
            </w:r>
            <w:r/>
          </w:p>
        </w:tc>
      </w:tr>
      <w:tr>
        <w:trPr>
          <w:trHeight w:val="454"/>
        </w:trPr>
        <w:tc>
          <w:tcPr>
            <w:tcW w:w="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p>
        </w:tc>
        <w:tc>
          <w:tcPr>
            <w:tcW w:w="1730"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数据有效获取率</w:t>
            </w:r>
            <w:r/>
          </w:p>
        </w:tc>
        <w:tc>
          <w:tcPr>
            <w:tcW w:w="637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单套设备的考核周期内小时有效数据获取率不低于80%，如未达到，</w:t>
            </w:r>
            <w:r>
              <w:rPr>
                <w:rFonts w:hint="eastAsia" w:ascii="宋体" w:hAnsi="宋体" w:eastAsia="宋体" w:cs="宋体"/>
                <w:color w:val="auto"/>
                <w:sz w:val="21"/>
                <w:szCs w:val="21"/>
                <w:highlight w:val="none"/>
                <w:lang w:val="en-US" w:eastAsia="zh-CN"/>
              </w:rPr>
              <w:t xml:space="preserve">VOCs设备</w:t>
            </w:r>
            <w:r>
              <w:rPr>
                <w:rFonts w:hint="eastAsia" w:ascii="宋体" w:hAnsi="宋体" w:eastAsia="宋体" w:cs="宋体"/>
                <w:color w:val="auto"/>
                <w:sz w:val="21"/>
                <w:szCs w:val="21"/>
                <w:highlight w:val="none"/>
              </w:rPr>
              <w:t xml:space="preserve">每低1%扣5分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太阳紫外辐射设备</w:t>
            </w:r>
            <w:r>
              <w:rPr>
                <w:rFonts w:hint="eastAsia" w:ascii="宋体" w:hAnsi="宋体" w:eastAsia="宋体" w:cs="宋体"/>
                <w:color w:val="auto"/>
                <w:sz w:val="21"/>
                <w:szCs w:val="21"/>
                <w:highlight w:val="none"/>
              </w:rPr>
              <w:t xml:space="preserve">每低1%扣</w:t>
            </w:r>
            <w:r>
              <w:rPr>
                <w:rFonts w:hint="eastAsia" w:ascii="宋体" w:hAnsi="宋体" w:eastAsia="宋体" w:cs="宋体"/>
                <w:color w:val="auto"/>
                <w:sz w:val="21"/>
                <w:szCs w:val="21"/>
                <w:highlight w:val="none"/>
                <w:lang w:val="en-US" w:eastAsia="zh-CN"/>
              </w:rPr>
              <w:t xml:space="preserve">0.2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636"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706"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w:t>
            </w:r>
            <w:r/>
          </w:p>
        </w:tc>
      </w:tr>
      <w:tr>
        <w:trPr>
          <w:trHeight w:val="454"/>
        </w:trPr>
        <w:tc>
          <w:tcPr>
            <w:tcW w:w="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p>
        </w:tc>
        <w:tc>
          <w:tcPr>
            <w:tcW w:w="1730"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质控数据合格率</w:t>
            </w:r>
            <w:r/>
          </w:p>
        </w:tc>
        <w:tc>
          <w:tcPr>
            <w:tcW w:w="637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单套</w:t>
            </w:r>
            <w:r>
              <w:rPr>
                <w:rFonts w:hint="eastAsia" w:ascii="宋体" w:hAnsi="宋体" w:eastAsia="宋体" w:cs="宋体"/>
                <w:color w:val="auto"/>
                <w:sz w:val="21"/>
                <w:szCs w:val="21"/>
                <w:highlight w:val="none"/>
                <w:lang w:val="en-US" w:eastAsia="zh-CN"/>
              </w:rPr>
              <w:t xml:space="preserve">VOCs</w:t>
            </w:r>
            <w:r>
              <w:rPr>
                <w:rFonts w:hint="eastAsia" w:ascii="宋体" w:hAnsi="宋体" w:eastAsia="宋体" w:cs="宋体"/>
                <w:color w:val="auto"/>
                <w:sz w:val="21"/>
                <w:szCs w:val="21"/>
                <w:highlight w:val="none"/>
              </w:rPr>
              <w:t xml:space="preserve">设备的考核周期内小时质控数据合格率不低于90%，如未达到，每低1%扣5分</w:t>
            </w:r>
            <w:r/>
          </w:p>
        </w:tc>
        <w:tc>
          <w:tcPr>
            <w:tcW w:w="636"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706"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w:t>
            </w:r>
            <w:r/>
          </w:p>
        </w:tc>
      </w:tr>
      <w:tr>
        <w:trPr>
          <w:trHeight w:val="454"/>
        </w:trPr>
        <w:tc>
          <w:tcPr>
            <w:tcW w:w="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w:t>
            </w:r>
            <w:r/>
          </w:p>
        </w:tc>
        <w:tc>
          <w:tcPr>
            <w:tcW w:w="1730"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运维任务完成率</w:t>
            </w:r>
            <w:r/>
          </w:p>
        </w:tc>
        <w:tc>
          <w:tcPr>
            <w:tcW w:w="637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每月按时填写、整理和提交各类运维原始记录，如未按时完成，每次扣2分</w:t>
            </w:r>
            <w:r/>
          </w:p>
          <w:p>
            <w:pP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按约定时间要求提交所有配件、耗材，交接清单和日常使用记录备查，如未按时完成，每次扣2分</w:t>
            </w:r>
            <w:r/>
          </w:p>
        </w:tc>
        <w:tc>
          <w:tcPr>
            <w:tcW w:w="636"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706"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trHeight w:val="454"/>
        </w:trPr>
        <w:tc>
          <w:tcPr>
            <w:tcW w:w="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w:t>
            </w:r>
            <w:r/>
          </w:p>
        </w:tc>
        <w:tc>
          <w:tcPr>
            <w:tcW w:w="1730"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报告提交情况</w:t>
            </w:r>
            <w:r/>
          </w:p>
        </w:tc>
        <w:tc>
          <w:tcPr>
            <w:tcW w:w="637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每月提供满足要求的VOCs组分分析报告至少1份，如未完成，每次扣3分</w:t>
            </w:r>
            <w:r/>
          </w:p>
        </w:tc>
        <w:tc>
          <w:tcPr>
            <w:tcW w:w="636"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706"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trHeight w:val="454"/>
        </w:trPr>
        <w:tc>
          <w:tcPr>
            <w:tcW w:w="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w:t>
            </w:r>
            <w:r/>
          </w:p>
        </w:tc>
        <w:tc>
          <w:tcPr>
            <w:tcW w:w="1730"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服务响应时间</w:t>
            </w:r>
            <w:r/>
          </w:p>
        </w:tc>
        <w:tc>
          <w:tcPr>
            <w:tcW w:w="637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服务时间及应急处理满足采购文件和响应文件要求，每发现一次不满足扣2分</w:t>
            </w:r>
            <w:r/>
          </w:p>
        </w:tc>
        <w:tc>
          <w:tcPr>
            <w:tcW w:w="636"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706"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trHeight w:val="454"/>
        </w:trPr>
        <w:tc>
          <w:tcPr>
            <w:tcW w:w="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w:t>
            </w:r>
            <w:r/>
          </w:p>
        </w:tc>
        <w:tc>
          <w:tcPr>
            <w:tcW w:w="1730"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服务人员</w:t>
            </w:r>
            <w:r/>
          </w:p>
        </w:tc>
        <w:tc>
          <w:tcPr>
            <w:tcW w:w="637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安排符合响应文件要求的人员，每发现一次不满足扣2分</w:t>
            </w:r>
            <w:r/>
          </w:p>
        </w:tc>
        <w:tc>
          <w:tcPr>
            <w:tcW w:w="636"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706"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trHeight w:val="454"/>
        </w:trPr>
        <w:tc>
          <w:tcPr>
            <w:tcW w:w="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w:t>
            </w:r>
            <w:r/>
          </w:p>
        </w:tc>
        <w:tc>
          <w:tcPr>
            <w:tcW w:w="1730"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其他</w:t>
            </w:r>
            <w:r/>
          </w:p>
        </w:tc>
        <w:tc>
          <w:tcPr>
            <w:tcW w:w="637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运维服务期间，如被苏州市生态环境局或其他相关部门获负面评价的，每一次扣5分</w:t>
            </w:r>
            <w:r/>
          </w:p>
        </w:tc>
        <w:tc>
          <w:tcPr>
            <w:tcW w:w="636"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706"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trHeight w:val="454"/>
        </w:trPr>
        <w:tc>
          <w:tcPr>
            <w:tcW w:w="7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w:t>
            </w:r>
            <w:r/>
          </w:p>
        </w:tc>
        <w:tc>
          <w:tcPr>
            <w:tcW w:w="1730"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外部质控检查</w:t>
            </w:r>
            <w:r/>
          </w:p>
        </w:tc>
        <w:tc>
          <w:tcPr>
            <w:tcW w:w="6373"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检查发现有重要质控指标未达到运维质控要求时，根据对数据质量造成的影响程度，扣1~10分；如未及时整改，加倍扣分。</w:t>
            </w:r>
            <w:r/>
          </w:p>
        </w:tc>
        <w:tc>
          <w:tcPr>
            <w:tcW w:w="636"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706"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trHeight w:val="454"/>
        </w:trPr>
        <w:tc>
          <w:tcPr>
            <w:gridSpan w:val="3"/>
            <w:tcBorders>
              <w:bottom w:val="single" w:color="auto" w:sz="4" w:space="0"/>
            </w:tcBorders>
            <w:tcW w:w="88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rPr>
              <w:t xml:space="preserve"> 扣 分 合 计</w:t>
            </w:r>
            <w:r/>
          </w:p>
        </w:tc>
        <w:tc>
          <w:tcPr>
            <w:tcBorders>
              <w:bottom w:val="single" w:color="auto" w:sz="4" w:space="0"/>
            </w:tcBorders>
            <w:tcW w:w="636"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Borders>
              <w:bottom w:val="single" w:color="auto" w:sz="4" w:space="0"/>
            </w:tcBorders>
            <w:tcW w:w="706"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trHeight w:val="454"/>
        </w:trPr>
        <w:tc>
          <w:tcPr>
            <w:gridSpan w:val="3"/>
            <w:tcBorders>
              <w:top w:val="single" w:color="auto" w:sz="4" w:space="0"/>
            </w:tcBorders>
            <w:tcW w:w="88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总 分（100分-总扣分）</w:t>
            </w:r>
            <w:r/>
          </w:p>
        </w:tc>
        <w:tc>
          <w:tcPr>
            <w:tcBorders>
              <w:top w:val="single" w:color="auto" w:sz="4" w:space="0"/>
            </w:tcBorders>
            <w:tcW w:w="636"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Borders>
              <w:top w:val="single" w:color="auto" w:sz="4" w:space="0"/>
            </w:tcBorders>
            <w:tcW w:w="706"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bl>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考核人：                            审核人：                       考核时间：</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注：</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（1）满分为100分；</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数据有效获取率统计方法：数据有效获取率（%）=有效数据获取小时数÷应获取数据小时数×100%（有效数据获取小时数是指满足质控要求的数据获取小时数；应获取数据小时数是指从年度或月度总小时数扣除仪器必要维护和不可抗力因素导致的数据缺失后所剩余小时数。每月必要维护时间低于48小时的以实际小时数计，超过48小时按48小时计，不可抗力因素包括停电、外部质控检查、年度性能指标测试、以及其他经本单位确认可以纳入不可抗力因素的事项。设备故障时间超出48小时部分不属于不可抗力）。</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考核周期内</w:t>
      </w:r>
      <w:r>
        <w:rPr>
          <w:rFonts w:hint="eastAsia" w:ascii="宋体" w:hAnsi="宋体" w:eastAsia="宋体" w:cs="宋体"/>
          <w:color w:val="auto"/>
          <w:sz w:val="21"/>
          <w:szCs w:val="21"/>
          <w:highlight w:val="none"/>
        </w:rPr>
        <w:t xml:space="preserve">质控数据合格率=</w:t>
      </w:r>
      <w:r>
        <w:rPr>
          <w:rFonts w:hint="eastAsia" w:ascii="宋体" w:hAnsi="宋体" w:eastAsia="宋体" w:cs="宋体"/>
          <w:color w:val="auto"/>
          <w:sz w:val="21"/>
          <w:szCs w:val="21"/>
          <w:highlight w:val="none"/>
          <w:lang w:val="en-US" w:eastAsia="zh-CN"/>
        </w:rPr>
        <w:t xml:space="preserve">本周期</w:t>
      </w:r>
      <w:r>
        <w:rPr>
          <w:rFonts w:hint="eastAsia" w:ascii="宋体" w:hAnsi="宋体" w:eastAsia="宋体" w:cs="宋体"/>
          <w:color w:val="auto"/>
          <w:sz w:val="21"/>
          <w:szCs w:val="21"/>
          <w:highlight w:val="none"/>
        </w:rPr>
        <w:t xml:space="preserve">质控数据合格次数/</w:t>
      </w:r>
      <w:r>
        <w:rPr>
          <w:rFonts w:hint="eastAsia" w:ascii="宋体" w:hAnsi="宋体" w:eastAsia="宋体" w:cs="宋体"/>
          <w:color w:val="auto"/>
          <w:sz w:val="21"/>
          <w:szCs w:val="21"/>
          <w:highlight w:val="none"/>
          <w:lang w:val="en-US" w:eastAsia="zh-CN"/>
        </w:rPr>
        <w:t xml:space="preserve">本周期</w:t>
      </w:r>
      <w:r>
        <w:rPr>
          <w:rFonts w:hint="eastAsia" w:ascii="宋体" w:hAnsi="宋体" w:eastAsia="宋体" w:cs="宋体"/>
          <w:color w:val="auto"/>
          <w:sz w:val="21"/>
          <w:szCs w:val="21"/>
          <w:highlight w:val="none"/>
        </w:rPr>
        <w:t xml:space="preserve">质控数据总次数×100%，</w:t>
      </w:r>
      <w:r>
        <w:rPr>
          <w:rFonts w:hint="eastAsia" w:ascii="宋体" w:hAnsi="宋体" w:eastAsia="宋体" w:cs="宋体"/>
          <w:color w:val="auto"/>
          <w:sz w:val="21"/>
          <w:szCs w:val="21"/>
          <w:highlight w:val="none"/>
          <w:lang w:val="en-US" w:eastAsia="zh-CN"/>
        </w:rPr>
        <w:t xml:space="preserve">考核周期内</w:t>
      </w:r>
      <w:r>
        <w:rPr>
          <w:rFonts w:hint="eastAsia" w:ascii="宋体" w:hAnsi="宋体" w:eastAsia="宋体" w:cs="宋体"/>
          <w:color w:val="auto"/>
          <w:sz w:val="21"/>
          <w:szCs w:val="21"/>
          <w:highlight w:val="none"/>
        </w:rPr>
        <w:t xml:space="preserve">达到数据质控合格要求的次数即为本</w:t>
      </w:r>
      <w:r>
        <w:rPr>
          <w:rFonts w:hint="eastAsia" w:ascii="宋体" w:hAnsi="宋体" w:eastAsia="宋体" w:cs="宋体"/>
          <w:color w:val="auto"/>
          <w:sz w:val="21"/>
          <w:szCs w:val="21"/>
          <w:highlight w:val="none"/>
          <w:lang w:val="en-US" w:eastAsia="zh-CN"/>
        </w:rPr>
        <w:t xml:space="preserve">周期</w:t>
      </w:r>
      <w:r>
        <w:rPr>
          <w:rFonts w:hint="eastAsia" w:ascii="宋体" w:hAnsi="宋体" w:eastAsia="宋体" w:cs="宋体"/>
          <w:color w:val="auto"/>
          <w:sz w:val="21"/>
          <w:szCs w:val="21"/>
          <w:highlight w:val="none"/>
        </w:rPr>
        <w:t xml:space="preserve">数据质控合格次数，</w:t>
      </w:r>
      <w:r>
        <w:rPr>
          <w:rFonts w:hint="eastAsia" w:ascii="宋体" w:hAnsi="宋体" w:eastAsia="宋体" w:cs="宋体"/>
          <w:color w:val="auto"/>
          <w:sz w:val="21"/>
          <w:szCs w:val="21"/>
          <w:highlight w:val="none"/>
          <w:lang w:val="en-US" w:eastAsia="zh-CN"/>
        </w:rPr>
        <w:t xml:space="preserve">本周期</w:t>
      </w:r>
      <w:r>
        <w:rPr>
          <w:rFonts w:hint="eastAsia" w:ascii="宋体" w:hAnsi="宋体" w:eastAsia="宋体" w:cs="宋体"/>
          <w:color w:val="auto"/>
          <w:sz w:val="21"/>
          <w:szCs w:val="21"/>
          <w:highlight w:val="none"/>
        </w:rPr>
        <w:t xml:space="preserve">所做的所有数据质控次数为</w:t>
      </w:r>
      <w:r>
        <w:rPr>
          <w:rFonts w:hint="eastAsia" w:ascii="宋体" w:hAnsi="宋体" w:eastAsia="宋体" w:cs="宋体"/>
          <w:color w:val="auto"/>
          <w:sz w:val="21"/>
          <w:szCs w:val="21"/>
          <w:highlight w:val="none"/>
          <w:lang w:val="en-US" w:eastAsia="zh-CN"/>
        </w:rPr>
        <w:t xml:space="preserve">本周期</w:t>
      </w:r>
      <w:r>
        <w:rPr>
          <w:rFonts w:hint="eastAsia" w:ascii="宋体" w:hAnsi="宋体" w:eastAsia="宋体" w:cs="宋体"/>
          <w:color w:val="auto"/>
          <w:sz w:val="21"/>
          <w:szCs w:val="21"/>
          <w:highlight w:val="none"/>
        </w:rPr>
        <w:t xml:space="preserve">数据质控总次数。</w:t>
      </w:r>
      <w:r>
        <w:rPr>
          <w:rFonts w:hint="eastAsia" w:ascii="宋体" w:hAnsi="宋体" w:eastAsia="宋体" w:cs="宋体"/>
          <w:color w:val="auto"/>
          <w:sz w:val="21"/>
          <w:szCs w:val="21"/>
          <w:highlight w:val="none"/>
        </w:rPr>
        <w:t xml:space="preserve">合格质控数据的判别以国家相关技术规范或技术要求为准。</w:t>
      </w:r>
      <w:r>
        <w:rPr>
          <w:rFonts w:hint="eastAsia" w:ascii="宋体" w:hAnsi="宋体" w:eastAsia="宋体" w:cs="宋体"/>
          <w:color w:val="auto"/>
          <w:sz w:val="21"/>
          <w:szCs w:val="21"/>
          <w:highlight w:val="none"/>
        </w:rPr>
        <w:t xml:space="preserve">总质控数据包括成交单位日常质控、甲方抽查质控以及外部核查质控数据。</w:t>
      </w:r>
      <w:r/>
    </w:p>
    <w:p>
      <w:pPr>
        <w:pStyle w:val="956"/>
        <w:ind w:firstLine="42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（4）数据有效获取率、质控数据合格率不足1%的，按1%计算扣分</w:t>
      </w:r>
      <w:r>
        <w:rPr>
          <w:rFonts w:hint="eastAsia" w:ascii="宋体" w:hAnsi="宋体" w:cs="宋体"/>
          <w:color w:val="auto"/>
          <w:sz w:val="21"/>
          <w:szCs w:val="21"/>
          <w:highlight w:val="none"/>
          <w:lang w:eastAsia="zh-CN"/>
        </w:rPr>
        <w:t xml:space="preserve">。</w:t>
      </w:r>
      <w:r/>
    </w:p>
    <w:p>
      <w:pPr>
        <w:pStyle w:val="956"/>
        <w:ind w:firstLine="420"/>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5）本项目服务期内甲方付款前将进行工作考核，根据考核结果，得分在95分及以上的，全额支付相应服务费用；得分在95分至60分之间的，按照全额应付服务费用95%-60%的比例支付的相应服务费用；得分低于60分的，甲方有权拒绝支付剩余合同价款或不支付相应服务费用并终止合同并追要多付合同价款。</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.验收标准/方式</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验收标准：</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按照采购文件的服务内容及技术要求，根据成交单位提供运维年度报告（另合同期完毕后，需提供合同期内各类运维服务等相关原始工作记录）进行验收。</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验收方式：由</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组织验收。</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.人员要求：</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（1）项目经理：1名，负责项目整体管理，与</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做好协调沟通。</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（2）运维人员：不少于3名，从事空气自动监测站运维和维修的专业技术人员。</w:t>
      </w:r>
      <w:r/>
    </w:p>
    <w:p>
      <w:pPr>
        <w:ind w:firstLine="567"/>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（3）分析检查人员：不少于1名，能够根据实际运维要求随时到指定地点开展相关工作，具有数据分析检查的经验。</w:t>
      </w:r>
      <w:r/>
    </w:p>
    <w:p>
      <w:pPr>
        <w:ind w:firstLine="567"/>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上述人员成交后需立即配备到位。</w:t>
      </w:r>
      <w:r>
        <w:rPr>
          <w:rFonts w:hint="eastAsia" w:ascii="宋体" w:hAnsi="宋体" w:eastAsia="宋体" w:cs="宋体"/>
          <w:color w:val="auto"/>
          <w:sz w:val="21"/>
          <w:szCs w:val="21"/>
          <w:highlight w:val="none"/>
        </w:rPr>
        <w:t xml:space="preserve">成交单位在项目实施过程中，未经采购人批准，不得随意更换项目成员。如果采购人认为技术服务人员不具备本次服务工作所需的技术能力，有权随时要求成交单位对该成员进行更换。项目实施人员在服务期间内出现的工伤及其他意外事故，均由成交单位自行负责，</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不承担任何责任。</w:t>
      </w:r>
      <w:r/>
    </w:p>
    <w:p>
      <w:pPr>
        <w:ind w:firstLine="567"/>
        <w:keepLines w:val="0"/>
        <w:keepNext w:val="0"/>
        <w:pageBreakBefore w:val="0"/>
        <w:spacing w:line="400" w:lineRule="exact"/>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.其他</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（1）站房内水电费、通讯费用等包含在响应报价中，</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不再另行支付。</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（2）站房内其他设备（如空调等）如发生损坏，供应商应负责维修，该包含在响应报价中，</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不再另行支付。</w:t>
      </w:r>
      <w:r/>
    </w:p>
    <w:p>
      <w:pPr>
        <w:numPr>
          <w:ilvl w:val="0"/>
          <w:numId w:val="0"/>
        </w:numPr>
        <w:ind w:firstLine="567"/>
        <w:keepLines w:val="0"/>
        <w:keepNext w:val="0"/>
        <w:pageBreakBefore w:val="0"/>
        <w:spacing w:line="400" w:lineRule="exact"/>
        <w:widowControl w:val="off"/>
        <w:rPr>
          <w:rFonts w:hint="eastAsia" w:ascii="宋体" w:hAnsi="宋体" w:eastAsia="宋体" w:cs="宋体"/>
          <w:b/>
          <w:color w:val="auto"/>
          <w:sz w:val="21"/>
          <w:szCs w:val="21"/>
          <w:highlight w:val="none"/>
          <w:lang w:eastAsia="zh-CN"/>
        </w:rPr>
        <w:outlineLvl w:val="9"/>
      </w:pPr>
      <w:r>
        <w:rPr>
          <w:rFonts w:hint="eastAsia" w:ascii="宋体" w:hAnsi="宋体" w:eastAsia="宋体" w:cs="宋体"/>
          <w:color w:val="auto"/>
          <w:sz w:val="21"/>
          <w:szCs w:val="21"/>
          <w:highlight w:val="none"/>
        </w:rPr>
        <w:t xml:space="preserve">（3）响应单位响应文件中需列明耗材、零部件的清单，注明其品牌、生产制造商</w:t>
      </w:r>
      <w:r>
        <w:rPr>
          <w:rFonts w:hint="eastAsia" w:ascii="宋体" w:hAnsi="宋体" w:eastAsia="宋体" w:cs="宋体"/>
          <w:color w:val="auto"/>
          <w:sz w:val="21"/>
          <w:szCs w:val="21"/>
          <w:highlight w:val="none"/>
          <w:lang w:eastAsia="zh-CN"/>
        </w:rPr>
        <w:t xml:space="preserve">。</w:t>
      </w:r>
      <w:r/>
    </w:p>
    <w:p>
      <w:pPr>
        <w:ind w:firstLine="567"/>
        <w:keepLines w:val="0"/>
        <w:keepNext w:val="0"/>
        <w:pageBreakBefore w:val="0"/>
        <w:spacing w:line="400" w:lineRule="exact"/>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其他要求</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（1）成果归属及保障要求</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因本项目履行所产生的各项成果及因本项目履行所形成或获得的信息、资料等所产生的各项成果（包括但不限于本服务项目涉及的相关调查结果、研究成果等）其知识产权均归采购人单</w:t>
      </w:r>
      <w:r>
        <w:rPr>
          <w:rFonts w:hint="eastAsia" w:ascii="宋体" w:hAnsi="宋体" w:eastAsia="宋体" w:cs="宋体"/>
          <w:color w:val="auto"/>
          <w:sz w:val="21"/>
          <w:szCs w:val="21"/>
          <w:highlight w:val="none"/>
        </w:rPr>
        <w:t xml:space="preserve">方所有。未经采购人事先书面许可，成交供应商及其人员不得为本项目之外的任何目的、以任何形式自行使用、擅自许可第三方使用或向第三方透露部分或全部信息，存在前述任意情况时均视为成交供应商侵权并应承担各项法律责任。同时，成交供应商应保证在履行本项目过程中所使用、提供的各项物品、服务、成果及其任何部分不受到第三方关于侵犯专利权、商标权或著作权等知识产权及其他权利的指控。任何第三方如果提出侵权指控，成交供应商应承担可能发生的一切法律责任和费用，并承担采购人、相关第三方及项目因此产生的费用增项、损失等各项费用和法律责任。</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）保密条款</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成交供应商及其人员就本项目履行过程中所形成或取得的各类信息及书面和电子材料（包括但不限于本项目全部数据、文件资料、工作记录、各类报告及方案等）均有保密义务（有真实有效的证据证明该信息属于公知信息或者事先得到甲方书面授权的除外），不得对外提供、泄露，该保密义务在本项目履行及本项目合同解除或终止后继续有效。成交供应商因违反保密义务而给项目、采购人或相关第三方造成损失的，应承担因此导致的直接和间接经济损失及各类法律责任。</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）质量要求</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保障在约定期限内保质保量完成全部服务内容，在合同期内发现书面报告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材料</w:t>
      </w:r>
      <w:r>
        <w:rPr>
          <w:rFonts w:hint="eastAsia" w:ascii="宋体" w:hAnsi="宋体" w:eastAsia="宋体" w:cs="宋体"/>
          <w:color w:val="auto"/>
          <w:sz w:val="21"/>
          <w:szCs w:val="21"/>
          <w:highlight w:val="none"/>
        </w:rPr>
        <w:t xml:space="preserve">等有缺陷或实际情况改变的，供应商除承担约定义务和责任外，还应当负责重新调整或采取补救措施至满足约定及服务需求止。</w:t>
      </w:r>
      <w:r/>
    </w:p>
    <w:p>
      <w:pPr>
        <w:contextualSpacing/>
        <w:ind w:firstLine="567"/>
        <w:keepLines w:val="0"/>
        <w:keepNext w:val="0"/>
        <w:pageBreakBefore w:val="0"/>
        <w:spacing w:line="400" w:lineRule="exact"/>
        <w:widowControl w:val="off"/>
        <w:tabs>
          <w:tab w:val="left" w:pos="2280" w:leader="none"/>
        </w:tabs>
        <w:rPr>
          <w:rFonts w:ascii="宋体" w:hAnsi="宋体" w:cs="宋体"/>
          <w:b/>
          <w:bCs/>
          <w:color w:val="auto"/>
          <w:szCs w:val="21"/>
          <w:highlight w:val="none"/>
        </w:rPr>
        <w:outlineLvl w:val="9"/>
      </w:pP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综合说明</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磋商响应单位必须承诺磋商采购文件中提出的全部要求，如果其中某些条款不响应时，应在文件中逐条列出，未列出的视同响应。磋商响应单位成交后提供服务均为按国家规格条例的合格正规服务、符合规范要求。</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）报价说明：报价</w:t>
      </w:r>
      <w:r>
        <w:rPr>
          <w:rFonts w:hint="eastAsia" w:ascii="宋体" w:hAnsi="宋体" w:cs="宋体"/>
          <w:color w:val="auto"/>
          <w:szCs w:val="21"/>
          <w:highlight w:val="none"/>
        </w:rPr>
        <w:t xml:space="preserve">包括完成全部服务所需的人工、</w:t>
      </w:r>
      <w:r>
        <w:rPr>
          <w:rFonts w:hint="eastAsia" w:ascii="宋体" w:hAnsi="宋体" w:cs="宋体"/>
          <w:color w:val="auto"/>
          <w:szCs w:val="21"/>
          <w:highlight w:val="none"/>
          <w:lang w:val="en-US" w:eastAsia="zh-CN"/>
        </w:rPr>
        <w:t xml:space="preserve">运维、</w:t>
      </w:r>
      <w:r>
        <w:rPr>
          <w:rFonts w:hint="eastAsia" w:ascii="宋体" w:hAnsi="宋体" w:cs="宋体"/>
          <w:color w:val="auto"/>
          <w:szCs w:val="21"/>
          <w:highlight w:val="none"/>
        </w:rPr>
        <w:t xml:space="preserve">保险、劳保、管理、设备、</w:t>
      </w:r>
      <w:r>
        <w:rPr>
          <w:rFonts w:hint="eastAsia" w:ascii="宋体" w:hAnsi="宋体" w:cs="宋体"/>
          <w:color w:val="auto"/>
          <w:szCs w:val="21"/>
          <w:highlight w:val="none"/>
          <w:lang w:val="en-US" w:eastAsia="zh-CN"/>
        </w:rPr>
        <w:t xml:space="preserve">备品备件、</w:t>
      </w:r>
      <w:r>
        <w:rPr>
          <w:rFonts w:hint="eastAsia" w:ascii="宋体" w:hAnsi="宋体" w:cs="宋体"/>
          <w:color w:val="auto"/>
          <w:szCs w:val="21"/>
          <w:highlight w:val="none"/>
        </w:rPr>
        <w:t xml:space="preserve">耗材、专家顾问咨询费、税费、检测、</w:t>
      </w:r>
      <w:r>
        <w:rPr>
          <w:rFonts w:hint="eastAsia" w:ascii="宋体" w:hAnsi="宋体" w:cs="宋体"/>
          <w:color w:val="auto"/>
          <w:szCs w:val="21"/>
          <w:highlight w:val="none"/>
          <w:lang w:val="en-US" w:eastAsia="zh-CN"/>
        </w:rPr>
        <w:t xml:space="preserve">验收、</w:t>
      </w:r>
      <w:r>
        <w:rPr>
          <w:rFonts w:hint="eastAsia" w:ascii="宋体" w:hAnsi="宋体" w:cs="宋体"/>
          <w:color w:val="auto"/>
          <w:szCs w:val="21"/>
          <w:highlight w:val="none"/>
        </w:rPr>
        <w:t xml:space="preserve">利润、税金、政策性文件规定及合同包含的所有风险、责任等完成整个项目所产生的其它所有费用</w:t>
      </w:r>
      <w:r>
        <w:rPr>
          <w:rFonts w:hint="eastAsia" w:ascii="宋体" w:hAnsi="宋体" w:eastAsia="宋体" w:cs="宋体"/>
          <w:color w:val="auto"/>
          <w:sz w:val="21"/>
          <w:szCs w:val="21"/>
          <w:highlight w:val="none"/>
        </w:rPr>
        <w:t xml:space="preserve">。磋商响应单位应对所投项目的全部内容进行报价，只投其中部分内容者，其响应文件将被拒绝。成交单位对服务缺陷不予更正，</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有权另请其他单位更正，所发生的费用由成交单位承担。</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）成交单位提供的所有服务必须质量符合国际或国家通用标准，如出现质量问题，成交单位负责更正，发生的费用由成交单位负责。</w:t>
      </w:r>
      <w:r/>
    </w:p>
    <w:p>
      <w:pPr>
        <w:contextualSpacing/>
        <w:ind w:firstLine="567"/>
        <w:keepLines w:val="0"/>
        <w:keepNext w:val="0"/>
        <w:pageBreakBefore w:val="0"/>
        <w:spacing w:line="400" w:lineRule="exact"/>
        <w:widowControl w:val="off"/>
        <w:tabs>
          <w:tab w:val="left" w:pos="228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响应供应商应能保证所提供服务涉及到的知识产权是合法取得，并享有完整的知识产权，不会因为需方的使用而被责令停止使用、追偿或要求赔偿损失，如出现此情况，一切经济和法律责任均由供方承担。供方提供的所有服务必须质量符合国际或国家通用标准，如出现质量问题，供应商负责更正，发生的费用由供应商负责。</w:t>
      </w:r>
      <w:r/>
    </w:p>
    <w:p>
      <w:pPr>
        <w:numPr>
          <w:ilvl w:val="0"/>
          <w:numId w:val="18"/>
        </w:numPr>
        <w:ind w:left="525" w:hanging="525"/>
        <w:keepLines w:val="0"/>
        <w:keepNext w:val="0"/>
        <w:pageBreakBefore w:val="0"/>
        <w:spacing w:line="400" w:lineRule="exact"/>
        <w:widowControl w:val="off"/>
        <w:tabs>
          <w:tab w:val="clear" w:pos="420" w:leader="none"/>
          <w:tab w:val="left" w:pos="525" w:leader="none"/>
          <w:tab w:val="left" w:pos="567" w:leader="none"/>
        </w:tabs>
        <w:rPr>
          <w:rFonts w:hint="eastAsia" w:ascii="宋体" w:hAnsi="宋体" w:cs="Arial"/>
          <w:color w:val="auto"/>
          <w:szCs w:val="21"/>
          <w:highlight w:val="none"/>
          <w:shd w:val="clear" w:color="auto" w:fill="auto"/>
        </w:rPr>
      </w:pPr>
      <w:r>
        <w:rPr>
          <w:rFonts w:hint="eastAsia" w:ascii="宋体" w:hAnsi="宋体"/>
          <w:bCs/>
          <w:color w:val="auto"/>
          <w:szCs w:val="21"/>
          <w:highlight w:val="none"/>
          <w:shd w:val="clear" w:color="auto" w:fill="auto"/>
        </w:rPr>
        <w:t xml:space="preserve">磋商</w:t>
      </w:r>
      <w:r>
        <w:rPr>
          <w:rFonts w:hint="eastAsia" w:ascii="宋体" w:hAnsi="宋体" w:cs="Arial"/>
          <w:color w:val="auto"/>
          <w:szCs w:val="21"/>
          <w:highlight w:val="none"/>
          <w:shd w:val="clear" w:color="auto" w:fill="auto"/>
        </w:rPr>
        <w:t xml:space="preserve">响应文件的组成及要求：</w:t>
      </w:r>
      <w:r/>
    </w:p>
    <w:p>
      <w:pPr>
        <w:numPr>
          <w:ilvl w:val="0"/>
          <w:numId w:val="19"/>
        </w:numPr>
        <w:keepLines w:val="0"/>
        <w:keepNext w:val="0"/>
        <w:pageBreakBefore w:val="0"/>
        <w:spacing w:line="400" w:lineRule="exact"/>
        <w:widowControl w:val="off"/>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文件组成</w:t>
      </w:r>
      <w:r/>
    </w:p>
    <w:p>
      <w:pPr>
        <w:numPr>
          <w:ilvl w:val="0"/>
          <w:numId w:val="20"/>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磋商报价表</w:t>
      </w:r>
      <w:r/>
    </w:p>
    <w:p>
      <w:pPr>
        <w:numPr>
          <w:ilvl w:val="0"/>
          <w:numId w:val="20"/>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磋商分项报价明细表</w:t>
      </w:r>
      <w:r/>
    </w:p>
    <w:p>
      <w:pPr>
        <w:numPr>
          <w:ilvl w:val="0"/>
          <w:numId w:val="20"/>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bookmarkStart w:id="12" w:name="OLE_LINK13"/>
      <w:r>
        <w:rPr>
          <w:rFonts w:hint="eastAsia" w:ascii="宋体" w:hAnsi="宋体"/>
          <w:b/>
          <w:bCs/>
          <w:color w:val="auto"/>
          <w:szCs w:val="21"/>
          <w:highlight w:val="none"/>
          <w:shd w:val="clear" w:color="auto" w:fill="auto"/>
        </w:rPr>
        <w:t xml:space="preserve">其他针对本次磋商的详细说明</w:t>
      </w:r>
      <w:bookmarkEnd w:id="12"/>
      <w:r/>
      <w:r/>
    </w:p>
    <w:p>
      <w:pPr>
        <w:numPr>
          <w:ilvl w:val="0"/>
          <w:numId w:val="21"/>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无对应模块上传的响应文件内容可传至此，含“五、附件”中部分表格、内容。</w:t>
      </w:r>
      <w:r/>
    </w:p>
    <w:p>
      <w:pPr>
        <w:numPr>
          <w:ilvl w:val="0"/>
          <w:numId w:val="20"/>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资格审查响应文件</w:t>
      </w:r>
      <w:r/>
    </w:p>
    <w:p>
      <w:pPr>
        <w:numPr>
          <w:ilvl w:val="0"/>
          <w:numId w:val="22"/>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磋商响应函；</w:t>
      </w:r>
      <w:r/>
    </w:p>
    <w:p>
      <w:pPr>
        <w:numPr>
          <w:ilvl w:val="0"/>
          <w:numId w:val="22"/>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关于资格文件的声明函；</w:t>
      </w:r>
      <w:r/>
    </w:p>
    <w:p>
      <w:pPr>
        <w:numPr>
          <w:ilvl w:val="0"/>
          <w:numId w:val="22"/>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法定代表人授权委托书（如有授权）；</w:t>
      </w:r>
      <w:r/>
    </w:p>
    <w:p>
      <w:pPr>
        <w:numPr>
          <w:ilvl w:val="0"/>
          <w:numId w:val="22"/>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供应商的法定代表人身份证复印件、供应商代理人身份证复印件（如有授权）；</w:t>
      </w:r>
      <w:r/>
    </w:p>
    <w:p>
      <w:pPr>
        <w:numPr>
          <w:ilvl w:val="0"/>
          <w:numId w:val="22"/>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供应商参加政府采购活动应当具备的条件：</w:t>
      </w:r>
      <w:r/>
    </w:p>
    <w:p>
      <w:pPr>
        <w:numPr>
          <w:ilvl w:val="0"/>
          <w:numId w:val="23"/>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具有独立承担民事责任的能力（提供法人或者其他组织的营业执照等证明文件）；</w:t>
      </w:r>
      <w:r/>
    </w:p>
    <w:p>
      <w:pPr>
        <w:numPr>
          <w:ilvl w:val="0"/>
          <w:numId w:val="23"/>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具有良好的商业信誉和健全的财务会计制度（提供参加本次政府采购前的财务报表或银行出具的资信证明）；</w:t>
      </w:r>
      <w:r/>
    </w:p>
    <w:p>
      <w:pPr>
        <w:numPr>
          <w:ilvl w:val="0"/>
          <w:numId w:val="23"/>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具有履行合同所必</w:t>
      </w:r>
      <w:r>
        <w:rPr>
          <w:rFonts w:hint="eastAsia" w:ascii="宋体" w:hAnsi="宋体"/>
          <w:color w:val="auto"/>
          <w:szCs w:val="21"/>
          <w:highlight w:val="none"/>
          <w:shd w:val="clear" w:color="auto" w:fill="auto"/>
          <w:lang w:val="en-US" w:eastAsia="zh-CN"/>
        </w:rPr>
        <w:t xml:space="preserve">需</w:t>
      </w:r>
      <w:r>
        <w:rPr>
          <w:rFonts w:hint="eastAsia" w:ascii="宋体" w:hAnsi="宋体"/>
          <w:color w:val="auto"/>
          <w:szCs w:val="21"/>
          <w:highlight w:val="none"/>
          <w:shd w:val="clear" w:color="auto" w:fill="auto"/>
        </w:rPr>
        <w:t xml:space="preserve">的设备和专业技术能力（企业法人性质的政府采购供应商应在经工商管理部门核准登记注册的经营范围内参与经营活动，提供营业执照或其他证明材料）；</w:t>
      </w:r>
      <w:r/>
    </w:p>
    <w:p>
      <w:pPr>
        <w:numPr>
          <w:ilvl w:val="0"/>
          <w:numId w:val="23"/>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有依法缴纳税收和社会保障资金的良好记录（提供参加本次政府采购前一年内（至少一个月的）的依法缴纳税收和社会保障资金的相关材料）；</w:t>
      </w:r>
      <w:r/>
    </w:p>
    <w:p>
      <w:pPr>
        <w:numPr>
          <w:ilvl w:val="0"/>
          <w:numId w:val="23"/>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参加政府采购活动前3年内在经营活动中没有重大违法记录（提供书面声明）</w:t>
      </w:r>
      <w:r>
        <w:rPr>
          <w:rFonts w:hint="eastAsia" w:ascii="宋体" w:hAnsi="宋体"/>
          <w:color w:val="auto"/>
          <w:szCs w:val="21"/>
          <w:highlight w:val="none"/>
          <w:shd w:val="clear" w:color="auto" w:fill="auto"/>
          <w:lang w:eastAsia="zh-CN"/>
        </w:rPr>
        <w:t xml:space="preserve">。</w:t>
      </w:r>
      <w:r/>
    </w:p>
    <w:p>
      <w:pPr>
        <w:numPr>
          <w:ilvl w:val="0"/>
          <w:numId w:val="20"/>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符合性审查响应文件</w:t>
      </w:r>
      <w:r/>
    </w:p>
    <w:p>
      <w:pPr>
        <w:numPr>
          <w:ilvl w:val="0"/>
          <w:numId w:val="24"/>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服务要求</w:t>
      </w: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lang w:val="en-US" w:eastAsia="zh-CN"/>
        </w:rPr>
        <w:t xml:space="preserve">商务条款</w:t>
      </w: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rPr>
        <w:t xml:space="preserve">偏离表；</w:t>
      </w:r>
      <w:r/>
    </w:p>
    <w:p>
      <w:pPr>
        <w:numPr>
          <w:ilvl w:val="0"/>
          <w:numId w:val="24"/>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投标（响应）保证承诺书；</w:t>
      </w:r>
      <w:r/>
    </w:p>
    <w:p>
      <w:pPr>
        <w:numPr>
          <w:ilvl w:val="0"/>
          <w:numId w:val="24"/>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其他需供应商对本次响应的详细说明、承诺。</w:t>
      </w:r>
      <w:r/>
    </w:p>
    <w:p>
      <w:pPr>
        <w:numPr>
          <w:ilvl w:val="0"/>
          <w:numId w:val="20"/>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综合评审响应文件</w:t>
      </w:r>
      <w:r/>
    </w:p>
    <w:p>
      <w:pPr>
        <w:numPr>
          <w:ilvl w:val="0"/>
          <w:numId w:val="25"/>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项目具体实施方案；</w:t>
      </w:r>
      <w:bookmarkStart w:id="18" w:name="_GoBack"/>
      <w:r/>
      <w:bookmarkEnd w:id="18"/>
      <w:r/>
      <w:r/>
    </w:p>
    <w:p>
      <w:pPr>
        <w:numPr>
          <w:ilvl w:val="0"/>
          <w:numId w:val="25"/>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履约期限、后续服务等响应承诺；</w:t>
      </w:r>
      <w:r/>
    </w:p>
    <w:p>
      <w:pPr>
        <w:numPr>
          <w:ilvl w:val="0"/>
          <w:numId w:val="25"/>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与本次磋商有关的其他资料。</w:t>
      </w:r>
      <w:r/>
    </w:p>
    <w:p>
      <w:pPr>
        <w:numPr>
          <w:ilvl w:val="0"/>
          <w:numId w:val="20"/>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企业报价折扣证明</w:t>
      </w:r>
      <w:r/>
    </w:p>
    <w:p>
      <w:pPr>
        <w:numPr>
          <w:ilvl w:val="0"/>
          <w:numId w:val="26"/>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中型、小型或微型企业、残疾人企业、监狱企业的相关材料。</w:t>
      </w:r>
      <w:r/>
    </w:p>
    <w:p>
      <w:pPr>
        <w:spacing w:line="400" w:lineRule="exact"/>
        <w:rPr>
          <w:rFonts w:ascii="宋体"/>
          <w:color w:val="auto"/>
          <w:szCs w:val="22"/>
          <w:highlight w:val="none"/>
          <w:shd w:val="clear" w:color="auto" w:fill="auto"/>
        </w:rPr>
      </w:pPr>
      <w:r>
        <w:rPr>
          <w:rFonts w:hint="eastAsia" w:ascii="宋体" w:hAnsi="宋体"/>
          <w:color w:val="auto"/>
          <w:szCs w:val="22"/>
          <w:highlight w:val="none"/>
          <w:shd w:val="clear" w:color="auto" w:fill="auto"/>
        </w:rPr>
        <w:t xml:space="preserve">注：响应单位成交后须提供一份与电子响应文件内容一致的纸质响应文件（装订成册）。</w:t>
      </w:r>
      <w:r/>
    </w:p>
    <w:p>
      <w:pPr>
        <w:numPr>
          <w:ilvl w:val="0"/>
          <w:numId w:val="19"/>
        </w:numPr>
        <w:spacing w:line="400" w:lineRule="exact"/>
        <w:rPr>
          <w:rFonts w:hint="eastAsia" w:ascii="宋体" w:hAnsi="宋体"/>
          <w:b/>
          <w:bCs/>
          <w:color w:val="auto"/>
          <w:highlight w:val="none"/>
          <w:shd w:val="clear" w:color="auto" w:fill="auto"/>
        </w:rPr>
      </w:pPr>
      <w:r>
        <w:rPr>
          <w:rFonts w:hint="eastAsia" w:ascii="宋体" w:hAnsi="宋体"/>
          <w:b/>
          <w:bCs/>
          <w:color w:val="auto"/>
          <w:highlight w:val="none"/>
          <w:shd w:val="clear" w:color="auto" w:fill="auto"/>
        </w:rPr>
        <w:t xml:space="preserve">电子投标（响应）文件的编制与提交 </w:t>
      </w:r>
      <w:r/>
    </w:p>
    <w:p>
      <w:pPr>
        <w:numPr>
          <w:ilvl w:val="0"/>
          <w:numId w:val="27"/>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电子响应文件按上述文件组成统一顺序、统一格式编写，并在首页编制“响应文件目录”。</w:t>
      </w:r>
      <w:r/>
    </w:p>
    <w:p>
      <w:pPr>
        <w:numPr>
          <w:ilvl w:val="0"/>
          <w:numId w:val="27"/>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电子响应文件制作</w:t>
      </w:r>
      <w:r/>
    </w:p>
    <w:p>
      <w:pPr>
        <w:numPr>
          <w:ilvl w:val="0"/>
          <w:numId w:val="28"/>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在苏采云系统中下载采购文件后，点击“客户端下载地址”，下载投标文件客户端，查看客户端使用说明。</w:t>
      </w:r>
      <w:r/>
    </w:p>
    <w:p>
      <w:pPr>
        <w:numPr>
          <w:ilvl w:val="0"/>
          <w:numId w:val="28"/>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将下载的采购文件导入投标文件客户端，按照《操作手册》完成投标文件的编制和加盖电子签章。</w:t>
      </w:r>
      <w:r/>
    </w:p>
    <w:p>
      <w:pPr>
        <w:numPr>
          <w:ilvl w:val="0"/>
          <w:numId w:val="28"/>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导出制作完成的投标文件，上传至苏采云系统。</w:t>
      </w:r>
      <w:r/>
    </w:p>
    <w:p>
      <w:pPr>
        <w:spacing w:line="400" w:lineRule="atLeast"/>
        <w:widowControl/>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注：具体投标文件编制教程查看苏采云系统中的客户端使用说明和供应商《操作手册》。</w:t>
      </w:r>
      <w:r/>
    </w:p>
    <w:p>
      <w:pPr>
        <w:numPr>
          <w:ilvl w:val="0"/>
          <w:numId w:val="27"/>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rPr>
          <w:rFonts w:hint="eastAsia" w:ascii="宋体" w:hAnsi="宋体"/>
          <w:color w:val="auto"/>
          <w:szCs w:val="21"/>
          <w:highlight w:val="none"/>
          <w:shd w:val="clear" w:color="auto" w:fill="auto"/>
        </w:rPr>
        <w:t xml:space="preserve">电子投标文件中的资料应按采购文件的要求加盖响应单位的电子签章或公章。</w:t>
      </w:r>
      <w:r/>
    </w:p>
    <w:p>
      <w:pPr>
        <w:numPr>
          <w:ilvl w:val="0"/>
          <w:numId w:val="27"/>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未按照要求编制电子投标文件，未按照要求在电子投标文件上加盖电子签章的，均视为无效投标。</w:t>
      </w:r>
      <w:r/>
    </w:p>
    <w:p>
      <w:pPr>
        <w:numPr>
          <w:ilvl w:val="0"/>
          <w:numId w:val="18"/>
        </w:numPr>
        <w:ind w:left="525" w:hanging="525"/>
        <w:spacing w:line="400" w:lineRule="exact"/>
        <w:tabs>
          <w:tab w:val="clear" w:pos="420" w:leader="none"/>
          <w:tab w:val="left" w:pos="525" w:leader="none"/>
          <w:tab w:val="left" w:pos="567" w:leader="none"/>
        </w:tabs>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磋商综合说明：</w:t>
      </w:r>
      <w:r/>
    </w:p>
    <w:p>
      <w:pPr>
        <w:numPr>
          <w:ilvl w:val="0"/>
          <w:numId w:val="29"/>
        </w:numPr>
        <w:ind w:left="567" w:hanging="567"/>
        <w:spacing w:line="400" w:lineRule="exact"/>
        <w:tabs>
          <w:tab w:val="left" w:pos="567" w:leader="none"/>
        </w:tabs>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本次</w:t>
      </w:r>
      <w:r>
        <w:rPr>
          <w:rFonts w:hint="eastAsia" w:ascii="宋体" w:hAnsi="宋体"/>
          <w:color w:val="auto"/>
          <w:szCs w:val="21"/>
          <w:highlight w:val="none"/>
          <w:shd w:val="clear" w:color="auto" w:fill="auto"/>
        </w:rPr>
        <w:t xml:space="preserve">竞争性磋商不分标段</w:t>
      </w:r>
      <w:r>
        <w:rPr>
          <w:rFonts w:ascii="宋体" w:hAnsi="宋体"/>
          <w:color w:val="auto"/>
          <w:szCs w:val="21"/>
          <w:highlight w:val="none"/>
          <w:shd w:val="clear" w:color="auto" w:fill="auto"/>
        </w:rPr>
        <w:t xml:space="preserve">，各供应商须对全部内容进行响应</w:t>
      </w:r>
      <w:r>
        <w:rPr>
          <w:rFonts w:hint="eastAsia" w:ascii="宋体" w:hAnsi="宋体"/>
          <w:color w:val="auto"/>
          <w:szCs w:val="21"/>
          <w:highlight w:val="none"/>
          <w:shd w:val="clear" w:color="auto" w:fill="auto"/>
        </w:rPr>
        <w:t xml:space="preserve">并报价</w:t>
      </w:r>
      <w:r>
        <w:rPr>
          <w:rFonts w:ascii="宋体" w:hAnsi="宋体"/>
          <w:color w:val="auto"/>
          <w:szCs w:val="21"/>
          <w:highlight w:val="none"/>
          <w:shd w:val="clear" w:color="auto" w:fill="auto"/>
        </w:rPr>
        <w:t xml:space="preserve">，只</w:t>
      </w:r>
      <w:r>
        <w:rPr>
          <w:rFonts w:hint="eastAsia" w:ascii="宋体" w:hAnsi="宋体"/>
          <w:color w:val="auto"/>
          <w:szCs w:val="21"/>
          <w:highlight w:val="none"/>
          <w:shd w:val="clear" w:color="auto" w:fill="auto"/>
        </w:rPr>
        <w:t xml:space="preserve">响应其中部分内容或只</w:t>
      </w:r>
      <w:r>
        <w:rPr>
          <w:rFonts w:ascii="宋体" w:hAnsi="宋体"/>
          <w:color w:val="auto"/>
          <w:szCs w:val="21"/>
          <w:highlight w:val="none"/>
          <w:shd w:val="clear" w:color="auto" w:fill="auto"/>
        </w:rPr>
        <w:t xml:space="preserve">报其中部分内容的，</w:t>
      </w:r>
      <w:r>
        <w:rPr>
          <w:rFonts w:hint="eastAsia" w:ascii="宋体" w:hAnsi="宋体"/>
          <w:color w:val="auto"/>
          <w:szCs w:val="21"/>
          <w:highlight w:val="none"/>
          <w:shd w:val="clear" w:color="auto" w:fill="auto"/>
        </w:rPr>
        <w:t xml:space="preserve">视为非实质性响应</w:t>
      </w:r>
      <w:r>
        <w:rPr>
          <w:rFonts w:ascii="宋体" w:hAnsi="宋体"/>
          <w:color w:val="auto"/>
          <w:szCs w:val="21"/>
          <w:highlight w:val="none"/>
          <w:shd w:val="clear" w:color="auto" w:fill="auto"/>
        </w:rPr>
        <w:t xml:space="preserve">，并不得出现选择性报价。</w:t>
      </w:r>
      <w:r/>
    </w:p>
    <w:p>
      <w:pPr>
        <w:numPr>
          <w:ilvl w:val="0"/>
          <w:numId w:val="29"/>
        </w:numPr>
        <w:ind w:left="567" w:hanging="567"/>
        <w:spacing w:line="400" w:lineRule="exact"/>
        <w:tabs>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磋商保证金：本项目不收取磋商保证金。</w:t>
      </w:r>
      <w:r/>
    </w:p>
    <w:p>
      <w:pPr>
        <w:numPr>
          <w:ilvl w:val="0"/>
          <w:numId w:val="29"/>
        </w:numPr>
        <w:ind w:left="567" w:hanging="567"/>
        <w:spacing w:line="400" w:lineRule="exact"/>
        <w:tabs>
          <w:tab w:val="left" w:pos="567" w:leader="none"/>
        </w:tabs>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成交服务费：</w:t>
      </w:r>
      <w:r>
        <w:rPr>
          <w:rFonts w:hint="eastAsia" w:ascii="宋体" w:hAnsi="宋体"/>
          <w:color w:val="auto"/>
          <w:szCs w:val="21"/>
          <w:highlight w:val="none"/>
          <w:shd w:val="clear" w:color="auto" w:fill="auto"/>
        </w:rPr>
        <w:t xml:space="preserve">按苏财购告【2016】31号规定的收费标准收取，领取成交通知书时成交单位向采购代理机构一次性付清。</w:t>
      </w:r>
      <w:r/>
    </w:p>
    <w:p>
      <w:pPr>
        <w:ind w:left="540"/>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收费标准：预算金额100万以下部分费率为预算金额的1.5%；预算金额100万-500万部分费率为预算金额的1.1%。</w:t>
      </w:r>
      <w:r/>
    </w:p>
    <w:p>
      <w:pPr>
        <w:ind w:left="539"/>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收款单位</w:t>
      </w:r>
      <w:r>
        <w:rPr>
          <w:rFonts w:ascii="宋体" w:hAnsi="宋体"/>
          <w:color w:val="auto"/>
          <w:szCs w:val="21"/>
          <w:highlight w:val="none"/>
          <w:shd w:val="clear" w:color="auto" w:fill="auto"/>
        </w:rPr>
        <w:t xml:space="preserve">：苏州市原鑫招投标咨询服务有限公司</w:t>
      </w:r>
      <w:r/>
    </w:p>
    <w:p>
      <w:pPr>
        <w:ind w:left="539"/>
        <w:spacing w:line="40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账号：</w:t>
      </w:r>
      <w:r>
        <w:rPr>
          <w:rFonts w:hint="eastAsia" w:ascii="宋体" w:hAnsi="宋体"/>
          <w:color w:val="auto"/>
          <w:szCs w:val="21"/>
          <w:highlight w:val="none"/>
          <w:shd w:val="clear" w:color="auto" w:fill="auto"/>
        </w:rPr>
        <w:t xml:space="preserve">543058193738 </w:t>
      </w:r>
      <w:r/>
    </w:p>
    <w:p>
      <w:pPr>
        <w:ind w:left="539"/>
        <w:spacing w:line="40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开户银行：</w:t>
      </w:r>
      <w:r>
        <w:rPr>
          <w:rFonts w:hint="eastAsia" w:ascii="宋体" w:hAnsi="宋体"/>
          <w:color w:val="auto"/>
          <w:szCs w:val="21"/>
          <w:highlight w:val="none"/>
          <w:shd w:val="clear" w:color="auto" w:fill="auto"/>
          <w:lang w:val="en-US" w:eastAsia="zh-CN"/>
        </w:rPr>
        <w:t xml:space="preserve">中国银行</w:t>
      </w:r>
      <w:r>
        <w:rPr>
          <w:rFonts w:hint="eastAsia" w:ascii="宋体" w:hAnsi="宋体"/>
          <w:color w:val="auto"/>
          <w:szCs w:val="21"/>
          <w:highlight w:val="none"/>
          <w:shd w:val="clear" w:color="auto" w:fill="auto"/>
        </w:rPr>
        <w:t xml:space="preserve">苏州南园支行</w:t>
      </w:r>
      <w:r/>
    </w:p>
    <w:p>
      <w:pPr>
        <w:numPr>
          <w:ilvl w:val="0"/>
          <w:numId w:val="29"/>
        </w:numPr>
        <w:ind w:left="567" w:hanging="567"/>
        <w:spacing w:line="400" w:lineRule="exact"/>
        <w:tabs>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磋商说明：</w:t>
      </w:r>
      <w:r/>
    </w:p>
    <w:p>
      <w:pPr>
        <w:numPr>
          <w:ilvl w:val="0"/>
          <w:numId w:val="30"/>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不符合供应商资格要求的磋商响应文件将被拒绝；</w:t>
      </w:r>
      <w:r/>
    </w:p>
    <w:p>
      <w:pPr>
        <w:numPr>
          <w:ilvl w:val="0"/>
          <w:numId w:val="30"/>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参加磋商的供应商必须提供供应商代表的身份证明原件和法定代表人授权委托书原件（法定代表人为磋商代表的可不提供）；</w:t>
      </w:r>
      <w:r/>
    </w:p>
    <w:p>
      <w:pPr>
        <w:numPr>
          <w:ilvl w:val="0"/>
          <w:numId w:val="30"/>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磋商响应文件密封和签署不符合要求的，磋商响应文件将被拒绝；</w:t>
      </w:r>
      <w:r/>
    </w:p>
    <w:p>
      <w:pPr>
        <w:numPr>
          <w:ilvl w:val="0"/>
          <w:numId w:val="30"/>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不同投标（响应）人存在投标(响应)文件制作机器码一致的，视为无效响应； </w:t>
      </w:r>
      <w:r/>
    </w:p>
    <w:p>
      <w:pPr>
        <w:numPr>
          <w:ilvl w:val="0"/>
          <w:numId w:val="30"/>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实质性响应磋商文件不满三家、或进入二次报价的不满三家、或二次报价在采购预算内不满三家的，磋商采购失败。</w:t>
      </w:r>
      <w:r/>
    </w:p>
    <w:p>
      <w:pPr>
        <w:numPr>
          <w:ilvl w:val="0"/>
          <w:numId w:val="30"/>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szCs w:val="21"/>
          <w:highlight w:val="none"/>
          <w:shd w:val="clear" w:color="auto" w:fill="auto"/>
        </w:rPr>
        <w:t xml:space="preserve">最终合同单</w:t>
      </w:r>
      <w:r>
        <w:rPr>
          <w:rFonts w:hint="eastAsia" w:ascii="宋体" w:hAnsi="宋体"/>
          <w:color w:val="auto"/>
          <w:highlight w:val="none"/>
          <w:shd w:val="clear" w:color="auto" w:fill="auto"/>
        </w:rPr>
        <w:t xml:space="preserve">价按最终总报价同比例下（上）浮。</w:t>
      </w:r>
      <w:r/>
    </w:p>
    <w:p>
      <w:pPr>
        <w:numPr>
          <w:ilvl w:val="0"/>
          <w:numId w:val="29"/>
        </w:numPr>
        <w:ind w:left="567" w:hanging="567"/>
        <w:spacing w:line="400" w:lineRule="exact"/>
        <w:tabs>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项目的终止</w:t>
      </w:r>
      <w:r/>
    </w:p>
    <w:p>
      <w:pPr>
        <w:ind w:firstLine="539"/>
        <w:spacing w:line="40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出现下列情形之一的，</w:t>
      </w:r>
      <w:r>
        <w:rPr>
          <w:rFonts w:hint="eastAsia" w:ascii="宋体" w:hAnsi="宋体"/>
          <w:color w:val="auto"/>
          <w:szCs w:val="21"/>
          <w:highlight w:val="none"/>
          <w:shd w:val="clear" w:color="auto" w:fill="auto"/>
        </w:rPr>
        <w:t xml:space="preserve">将</w:t>
      </w:r>
      <w:r>
        <w:rPr>
          <w:rFonts w:ascii="宋体" w:hAnsi="宋体"/>
          <w:color w:val="auto"/>
          <w:szCs w:val="21"/>
          <w:highlight w:val="none"/>
          <w:shd w:val="clear" w:color="auto" w:fill="auto"/>
        </w:rPr>
        <w:t xml:space="preserve">终止采购活动：</w:t>
      </w:r>
      <w:r/>
    </w:p>
    <w:p>
      <w:pPr>
        <w:numPr>
          <w:ilvl w:val="0"/>
          <w:numId w:val="31"/>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因情况变化，不再符合规定的竞争性磋商采购方式适用情形的；</w:t>
      </w:r>
      <w:r/>
    </w:p>
    <w:p>
      <w:pPr>
        <w:numPr>
          <w:ilvl w:val="0"/>
          <w:numId w:val="31"/>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出现影响采购公正的违法、违规行为的；</w:t>
      </w:r>
      <w:r/>
    </w:p>
    <w:p>
      <w:pPr>
        <w:numPr>
          <w:ilvl w:val="0"/>
          <w:numId w:val="31"/>
        </w:numPr>
        <w:spacing w:line="400" w:lineRule="exact"/>
        <w:tabs>
          <w:tab w:val="left" w:pos="540" w:leader="none"/>
        </w:tabs>
        <w:rPr>
          <w:rFonts w:hint="eastAsia" w:ascii="宋体" w:hAnsi="宋体"/>
          <w:bCs/>
          <w:color w:val="auto"/>
          <w:szCs w:val="21"/>
          <w:highlight w:val="none"/>
          <w:shd w:val="clear" w:color="auto" w:fill="auto"/>
        </w:rPr>
      </w:pPr>
      <w:r>
        <w:rPr>
          <w:rFonts w:hint="eastAsia" w:ascii="宋体" w:hAnsi="宋体"/>
          <w:color w:val="auto"/>
          <w:szCs w:val="21"/>
          <w:highlight w:val="none"/>
          <w:shd w:val="clear" w:color="auto" w:fill="auto"/>
        </w:rPr>
        <w:t xml:space="preserve">在采购</w:t>
      </w:r>
      <w:r>
        <w:rPr>
          <w:rFonts w:ascii="宋体" w:hAnsi="宋体"/>
          <w:color w:val="auto"/>
          <w:szCs w:val="21"/>
          <w:highlight w:val="none"/>
          <w:shd w:val="clear" w:color="auto" w:fill="auto"/>
        </w:rPr>
        <w:t xml:space="preserve">过程中符合竞争要求的供应商或者报价未超过采购预算的供应商不足</w:t>
      </w:r>
      <w:r>
        <w:rPr>
          <w:rFonts w:hint="eastAsia" w:ascii="宋体" w:hAnsi="宋体"/>
          <w:color w:val="auto"/>
          <w:szCs w:val="21"/>
          <w:highlight w:val="none"/>
          <w:shd w:val="clear" w:color="auto" w:fill="auto"/>
        </w:rPr>
        <w:t xml:space="preserve">三</w:t>
      </w:r>
      <w:r>
        <w:rPr>
          <w:rFonts w:ascii="宋体" w:hAnsi="宋体"/>
          <w:color w:val="auto"/>
          <w:szCs w:val="21"/>
          <w:highlight w:val="none"/>
          <w:shd w:val="clear" w:color="auto" w:fill="auto"/>
        </w:rPr>
        <w:t xml:space="preserve">家的。</w:t>
      </w:r>
      <w:r/>
    </w:p>
    <w:p>
      <w:pPr>
        <w:numPr>
          <w:ilvl w:val="0"/>
          <w:numId w:val="29"/>
        </w:numPr>
        <w:ind w:left="567" w:hanging="567"/>
        <w:spacing w:line="400" w:lineRule="exact"/>
        <w:tabs>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成交通知书：</w:t>
      </w:r>
      <w:r/>
    </w:p>
    <w:p>
      <w:pPr>
        <w:numPr>
          <w:ilvl w:val="0"/>
          <w:numId w:val="32"/>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确定成交单位后在投标有效期截止前，采购代理机构将以书面形式通知成交的响应单位。</w:t>
      </w:r>
      <w:r/>
    </w:p>
    <w:p>
      <w:pPr>
        <w:numPr>
          <w:ilvl w:val="0"/>
          <w:numId w:val="32"/>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成交通知书将成为合同的组成部分。</w:t>
      </w:r>
      <w:r/>
    </w:p>
    <w:p>
      <w:pPr>
        <w:numPr>
          <w:ilvl w:val="0"/>
          <w:numId w:val="32"/>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采购人或采购代理机构对未成交单位不承担解释未成交原因的义务。</w:t>
      </w:r>
      <w:r/>
    </w:p>
    <w:p>
      <w:pPr>
        <w:numPr>
          <w:ilvl w:val="0"/>
          <w:numId w:val="32"/>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szCs w:val="21"/>
          <w:highlight w:val="none"/>
          <w:shd w:val="clear" w:color="auto" w:fill="auto"/>
        </w:rPr>
        <w:t xml:space="preserve">请成交单位在成交结果公告届满之日起30日内,使用CA证书登录“苏采云”系统及时下载成交通知书。因系统存储空</w:t>
      </w:r>
      <w:r>
        <w:rPr>
          <w:rFonts w:hint="eastAsia" w:ascii="宋体" w:hAnsi="宋体"/>
          <w:color w:val="auto"/>
          <w:highlight w:val="none"/>
          <w:shd w:val="clear" w:color="auto" w:fill="auto"/>
        </w:rPr>
        <w:t xml:space="preserve">间有限，自成交结果公告届满之日起30日后，“苏采云”系统不再保证提供下载中标通知书服务,因未及时下载而造成的不利后果由成交单位自行承担。</w:t>
      </w:r>
      <w:r/>
    </w:p>
    <w:p>
      <w:pPr>
        <w:numPr>
          <w:ilvl w:val="0"/>
          <w:numId w:val="29"/>
        </w:numPr>
        <w:ind w:left="567" w:hanging="567"/>
        <w:spacing w:line="400" w:lineRule="exact"/>
        <w:tabs>
          <w:tab w:val="left" w:pos="567" w:leader="none"/>
        </w:tabs>
        <w:rPr>
          <w:rFonts w:hint="eastAsia" w:ascii="宋体" w:hAnsi="宋体"/>
          <w:color w:val="auto"/>
          <w:szCs w:val="21"/>
          <w:highlight w:val="none"/>
          <w:shd w:val="clear" w:color="auto" w:fill="auto"/>
        </w:rPr>
      </w:pPr>
      <w:r>
        <w:rPr>
          <w:color w:val="auto"/>
          <w:highlight w:val="none"/>
          <w:shd w:val="clear" w:color="auto" w:fill="auto"/>
        </w:rPr>
        <w:t xml:space="preserve">参与项目评审的未成交供应商可在成交公告</w:t>
      </w:r>
      <w:r>
        <w:rPr>
          <w:rFonts w:hint="eastAsia"/>
          <w:color w:val="auto"/>
          <w:highlight w:val="none"/>
          <w:shd w:val="clear" w:color="auto" w:fill="auto"/>
        </w:rPr>
        <w:t xml:space="preserve">发布</w:t>
      </w:r>
      <w:r>
        <w:rPr>
          <w:color w:val="auto"/>
          <w:highlight w:val="none"/>
          <w:shd w:val="clear" w:color="auto" w:fill="auto"/>
        </w:rPr>
        <w:t xml:space="preserve">之</w:t>
      </w:r>
      <w:r>
        <w:rPr>
          <w:rFonts w:ascii="宋体" w:hAnsi="宋体"/>
          <w:color w:val="auto"/>
          <w:highlight w:val="none"/>
          <w:shd w:val="clear" w:color="auto" w:fill="auto"/>
        </w:rPr>
        <w:t xml:space="preserve">日起7个工</w:t>
      </w:r>
      <w:r>
        <w:rPr>
          <w:color w:val="auto"/>
          <w:highlight w:val="none"/>
          <w:shd w:val="clear" w:color="auto" w:fill="auto"/>
        </w:rPr>
        <w:t xml:space="preserve">作日内电话咨询采购代理机构索取《未成交通知书》，采购代理机构应以电子邮件形式告知。未成交供应商未按约定的时间和方式获取告知信息的，视为自动放弃</w:t>
      </w:r>
      <w:r>
        <w:rPr>
          <w:rFonts w:hint="eastAsia"/>
          <w:color w:val="auto"/>
          <w:highlight w:val="none"/>
          <w:shd w:val="clear" w:color="auto" w:fill="auto"/>
        </w:rPr>
        <w:t xml:space="preserve">。</w:t>
      </w:r>
      <w:r/>
    </w:p>
    <w:p>
      <w:pPr>
        <w:numPr>
          <w:ilvl w:val="0"/>
          <w:numId w:val="29"/>
        </w:numPr>
        <w:ind w:left="567" w:hanging="567"/>
        <w:spacing w:line="400" w:lineRule="exact"/>
        <w:tabs>
          <w:tab w:val="left" w:pos="567" w:leader="none"/>
        </w:tabs>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凡涉及</w:t>
      </w:r>
      <w:r>
        <w:rPr>
          <w:rFonts w:hint="eastAsia" w:ascii="宋体" w:hAnsi="宋体"/>
          <w:color w:val="auto"/>
          <w:szCs w:val="21"/>
          <w:highlight w:val="none"/>
          <w:shd w:val="clear" w:color="auto" w:fill="auto"/>
        </w:rPr>
        <w:t xml:space="preserve">采购文件</w:t>
      </w:r>
      <w:r>
        <w:rPr>
          <w:rFonts w:ascii="宋体" w:hAnsi="宋体"/>
          <w:color w:val="auto"/>
          <w:szCs w:val="21"/>
          <w:highlight w:val="none"/>
          <w:shd w:val="clear" w:color="auto" w:fill="auto"/>
        </w:rPr>
        <w:t xml:space="preserve">的补充说明和修改，均以</w:t>
      </w:r>
      <w:r>
        <w:rPr>
          <w:rFonts w:hint="eastAsia" w:ascii="宋体" w:hAnsi="宋体"/>
          <w:color w:val="auto"/>
          <w:szCs w:val="21"/>
          <w:highlight w:val="none"/>
          <w:shd w:val="clear" w:color="auto" w:fill="auto"/>
        </w:rPr>
        <w:t xml:space="preserve">网上发布的</w:t>
      </w:r>
      <w:r>
        <w:rPr>
          <w:rFonts w:ascii="宋体" w:hAnsi="宋体"/>
          <w:color w:val="auto"/>
          <w:szCs w:val="21"/>
          <w:highlight w:val="none"/>
          <w:shd w:val="clear" w:color="auto" w:fill="auto"/>
        </w:rPr>
        <w:t xml:space="preserve">通知为准</w:t>
      </w:r>
      <w:r>
        <w:rPr>
          <w:rFonts w:hint="eastAsia" w:ascii="宋体" w:hAnsi="宋体"/>
          <w:color w:val="auto"/>
          <w:szCs w:val="21"/>
          <w:highlight w:val="none"/>
          <w:shd w:val="clear" w:color="auto" w:fill="auto"/>
        </w:rPr>
        <w:t xml:space="preserve">。</w:t>
      </w:r>
      <w:r/>
    </w:p>
    <w:p>
      <w:pPr>
        <w:numPr>
          <w:ilvl w:val="0"/>
          <w:numId w:val="18"/>
        </w:numPr>
        <w:ind w:left="525" w:hanging="525"/>
        <w:spacing w:line="400" w:lineRule="exact"/>
        <w:tabs>
          <w:tab w:val="clear" w:pos="420" w:leader="none"/>
          <w:tab w:val="left" w:pos="525" w:leader="none"/>
          <w:tab w:val="left" w:pos="567" w:leader="none"/>
        </w:tabs>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政府采购相关政策</w:t>
      </w:r>
      <w:r/>
    </w:p>
    <w:p>
      <w:pPr>
        <w:numPr>
          <w:ilvl w:val="0"/>
          <w:numId w:val="33"/>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关于对参与供应商信用记录的政府采购要求：</w:t>
      </w:r>
      <w:r/>
    </w:p>
    <w:p>
      <w:pPr>
        <w:numPr>
          <w:ilvl w:val="0"/>
          <w:numId w:val="34"/>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采购代理机构会在接收响应文件截止时间后，在信用中国（www.creditchina.gov.cn）</w:t>
      </w:r>
      <w:r>
        <w:rPr>
          <w:rFonts w:hint="eastAsia" w:ascii="宋体" w:hAnsi="宋体"/>
          <w:color w:val="auto"/>
          <w:szCs w:val="21"/>
          <w:highlight w:val="none"/>
          <w:shd w:val="clear" w:color="auto" w:fill="auto"/>
          <w:lang w:val="en-US" w:eastAsia="zh-CN"/>
        </w:rPr>
        <w:t xml:space="preserve">等</w:t>
      </w:r>
      <w:r>
        <w:rPr>
          <w:rFonts w:hint="eastAsia" w:ascii="宋体" w:hAnsi="宋体"/>
          <w:color w:val="auto"/>
          <w:szCs w:val="21"/>
          <w:highlight w:val="none"/>
          <w:shd w:val="clear" w:color="auto" w:fill="auto"/>
        </w:rPr>
        <w:t xml:space="preserve">网站输入供应商全称或统一社会信用代码查询信用记录，并将查询结果递交评审小组。</w:t>
      </w:r>
      <w:r/>
    </w:p>
    <w:p>
      <w:pPr>
        <w:numPr>
          <w:ilvl w:val="0"/>
          <w:numId w:val="34"/>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567"/>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A、政府采购严重违法记录，即供应商被全国各级财政部门列入“政府采购严重违法失信行为记录名单”，且在处罚有效期内的。</w:t>
      </w:r>
      <w:r/>
    </w:p>
    <w:p>
      <w:pPr>
        <w:ind w:left="567"/>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B、财政部门与法院、工商、税务等部门联合惩戒的失信信息，包括：</w:t>
      </w:r>
      <w:r/>
    </w:p>
    <w:p>
      <w:pPr>
        <w:ind w:left="567"/>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 被列入失信被执行人名单；</w:t>
      </w:r>
      <w:r/>
    </w:p>
    <w:p>
      <w:pPr>
        <w:ind w:left="567"/>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 被列入重大税收违法案件当事人名单；</w:t>
      </w:r>
      <w:r/>
    </w:p>
    <w:p>
      <w:pPr>
        <w:ind w:left="567"/>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3) 企业经营异常名录中被责令停产停业、暂扣或者吊销许可证或者执照，或者对经营活动中的违法行为处以较大数额罚款的信用记录。处罚生效日至递交（响应）文件日未满三年的。</w:t>
      </w:r>
      <w:r/>
    </w:p>
    <w:p>
      <w:pPr>
        <w:numPr>
          <w:ilvl w:val="0"/>
          <w:numId w:val="34"/>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对存在失信信息的供应商，评审小组应签名确认。同时，采购代理机构工作人员应根据评审小组确认的失信信息，登陆到相关来源网站页面进行复核并打印，作为证据留存。</w:t>
      </w:r>
      <w:r/>
    </w:p>
    <w:p>
      <w:pPr>
        <w:numPr>
          <w:ilvl w:val="0"/>
          <w:numId w:val="33"/>
        </w:numPr>
        <w:spacing w:line="400" w:lineRule="exact"/>
        <w:tabs>
          <w:tab w:val="left" w:pos="525" w:leader="none"/>
        </w:tabs>
        <w:rPr>
          <w:rFonts w:hint="eastAsia" w:ascii="宋体" w:hAnsi="宋体"/>
          <w:color w:val="auto"/>
          <w:szCs w:val="21"/>
          <w:highlight w:val="none"/>
        </w:rPr>
      </w:pPr>
      <w:r>
        <w:rPr>
          <w:rFonts w:hint="eastAsia" w:ascii="宋体" w:hAnsi="宋体"/>
          <w:color w:val="auto"/>
          <w:szCs w:val="21"/>
          <w:highlight w:val="none"/>
        </w:rPr>
        <w:t xml:space="preserve">针对中小企业、监狱企业、残疾人企业的评审：</w:t>
      </w:r>
      <w:r/>
    </w:p>
    <w:p>
      <w:pPr>
        <w:ind w:left="540"/>
        <w:spacing w:line="400" w:lineRule="exact"/>
        <w:tabs>
          <w:tab w:val="left" w:pos="540" w:leader="none"/>
        </w:tabs>
        <w:rPr>
          <w:rFonts w:hint="eastAsia" w:ascii="宋体" w:hAnsi="宋体"/>
          <w:color w:val="auto"/>
          <w:highlight w:val="none"/>
        </w:rPr>
      </w:pPr>
      <w:r>
        <w:rPr>
          <w:rFonts w:hint="eastAsia" w:ascii="宋体" w:hAnsi="宋体"/>
          <w:color w:val="auto"/>
          <w:szCs w:val="21"/>
          <w:highlight w:val="none"/>
        </w:rPr>
        <w:t xml:space="preserve">根据</w:t>
      </w:r>
      <w:r>
        <w:rPr>
          <w:rFonts w:hint="eastAsia" w:ascii="宋体" w:hAnsi="宋体"/>
          <w:color w:val="auto"/>
          <w:highlight w:val="none"/>
        </w:rPr>
        <w:t xml:space="preserve">《政府采购促进中小企业发展管理办法》（财库〔2020〕46号）、《关于促进残疾人就业政府采购政策的通知》（财库〔2017〕141号）、《关于政府采</w:t>
      </w:r>
      <w:r>
        <w:rPr>
          <w:rFonts w:hint="eastAsia" w:ascii="宋体" w:hAnsi="宋体"/>
          <w:color w:val="auto"/>
          <w:highlight w:val="none"/>
        </w:rPr>
        <w:t xml:space="preserve">购支持监狱企业发展有关问题的通知》（财库〔2014〕68号）、《关于做好政府采购支持企业发展有关事项的通知》（苏财购〔2020〕52号）及《关于印发&lt;苏州市政府采购促进中小企业发展实施意见&gt;的通知》（苏财购〔2022〕16号）的有关规定，本项目为专门面向中小企业采购的项目，不再执行价格评审优惠的扶持政策。供应商必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ind w:left="540"/>
        <w:spacing w:line="400" w:lineRule="exact"/>
        <w:tabs>
          <w:tab w:val="left" w:pos="540" w:leader="none"/>
        </w:tabs>
        <w:rPr>
          <w:rFonts w:hint="eastAsia" w:ascii="宋体" w:hAnsi="宋体"/>
          <w:color w:val="auto"/>
          <w:szCs w:val="21"/>
          <w:highlight w:val="none"/>
        </w:rPr>
      </w:pPr>
      <w:r>
        <w:rPr>
          <w:rFonts w:hint="eastAsia" w:ascii="宋体" w:hAnsi="宋体"/>
          <w:color w:val="auto"/>
          <w:highlight w:val="none"/>
        </w:rPr>
        <w:t xml:space="preserve">注：①填报“中小企业声明函”需严格按“工信部联企业〔2011〕300号通知中的《中小企业划型标准规定》进行。②若供应商提供的声明函或认定证明为虚假材料，按“政府采购法”相关规定处理并报请政府监管部门给予行政处罚。</w:t>
      </w:r>
      <w:r/>
    </w:p>
    <w:p>
      <w:pPr>
        <w:numPr>
          <w:ilvl w:val="0"/>
          <w:numId w:val="33"/>
        </w:numPr>
        <w:spacing w:line="400" w:lineRule="exact"/>
        <w:tabs>
          <w:tab w:val="left" w:pos="525"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质疑事项</w:t>
      </w:r>
      <w:r/>
    </w:p>
    <w:p>
      <w:pPr>
        <w:numPr>
          <w:ilvl w:val="0"/>
          <w:numId w:val="35"/>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p>
    <w:p>
      <w:pPr>
        <w:numPr>
          <w:ilvl w:val="0"/>
          <w:numId w:val="36"/>
        </w:numPr>
        <w:ind w:left="567" w:firstLine="0"/>
        <w:spacing w:line="400" w:lineRule="exact"/>
        <w:tabs>
          <w:tab w:val="left" w:pos="540" w:leader="none"/>
        </w:tabs>
        <w:rPr>
          <w:rFonts w:hint="eastAsia" w:ascii="宋体" w:hAnsi="宋体"/>
          <w:color w:val="auto"/>
          <w:highlight w:val="none"/>
          <w:shd w:val="clear" w:color="auto" w:fill="auto"/>
        </w:rPr>
      </w:pPr>
      <w:r>
        <w:rPr>
          <w:rFonts w:hint="eastAsia" w:ascii="宋体" w:hAnsi="宋体"/>
          <w:bCs/>
          <w:color w:val="auto"/>
          <w:szCs w:val="21"/>
          <w:highlight w:val="none"/>
          <w:shd w:val="clear" w:color="auto" w:fill="auto"/>
        </w:rPr>
        <w:t xml:space="preserve">对</w:t>
      </w:r>
      <w:r>
        <w:rPr>
          <w:rFonts w:hint="eastAsia" w:ascii="宋体" w:hAnsi="宋体"/>
          <w:color w:val="auto"/>
          <w:highlight w:val="none"/>
          <w:shd w:val="clear" w:color="auto" w:fill="auto"/>
        </w:rPr>
        <w:t xml:space="preserve">可以质疑的采购文件提出质疑的，为收到采购文件之日或者采购文件公告期限届满之日；</w:t>
      </w:r>
      <w:r/>
    </w:p>
    <w:p>
      <w:pPr>
        <w:numPr>
          <w:ilvl w:val="0"/>
          <w:numId w:val="36"/>
        </w:numPr>
        <w:ind w:left="567" w:firstLine="0"/>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对采购过程提出质疑的，为各采购程序环节结束之日；</w:t>
      </w:r>
      <w:r/>
    </w:p>
    <w:p>
      <w:pPr>
        <w:numPr>
          <w:ilvl w:val="0"/>
          <w:numId w:val="36"/>
        </w:numPr>
        <w:ind w:left="567" w:firstLine="0"/>
        <w:spacing w:line="400" w:lineRule="exact"/>
        <w:tabs>
          <w:tab w:val="left" w:pos="540" w:leader="none"/>
        </w:tabs>
        <w:rPr>
          <w:rFonts w:hint="eastAsia" w:ascii="宋体" w:hAnsi="宋体"/>
          <w:bCs/>
          <w:color w:val="auto"/>
          <w:szCs w:val="21"/>
          <w:highlight w:val="none"/>
          <w:shd w:val="clear" w:color="auto" w:fill="auto"/>
        </w:rPr>
      </w:pPr>
      <w:r>
        <w:rPr>
          <w:rFonts w:hint="eastAsia" w:ascii="宋体" w:hAnsi="宋体"/>
          <w:color w:val="auto"/>
          <w:highlight w:val="none"/>
          <w:shd w:val="clear" w:color="auto" w:fill="auto"/>
        </w:rPr>
        <w:t xml:space="preserve">对中标或</w:t>
      </w:r>
      <w:r>
        <w:rPr>
          <w:rFonts w:hint="eastAsia" w:ascii="宋体" w:hAnsi="宋体"/>
          <w:bCs/>
          <w:color w:val="auto"/>
          <w:szCs w:val="21"/>
          <w:highlight w:val="none"/>
          <w:shd w:val="clear" w:color="auto" w:fill="auto"/>
        </w:rPr>
        <w:t xml:space="preserve">者成交结果提出质疑的，为中标或者成交结果公告期限届满之日。 </w:t>
      </w:r>
      <w:r/>
    </w:p>
    <w:p>
      <w:pPr>
        <w:numPr>
          <w:ilvl w:val="0"/>
          <w:numId w:val="35"/>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提出质疑的供应商应当是参与所质疑项目采购活动的供应商，未依照采购公告要求获取采购文件的供应商，视为未参与该项政府采购活动，不具备对该政府采购项目提出质疑的法定权利。对采购文件内容质疑时，需提供在采购交易系统中下载本项目磋商文件的《投标供应商确认函》，未提供的视为未依照采购公告要求获取磋商文件的供应商，不具备对该政府采购项目提出质疑的法定权利。</w:t>
      </w:r>
      <w:r/>
    </w:p>
    <w:p>
      <w:pPr>
        <w:numPr>
          <w:ilvl w:val="0"/>
          <w:numId w:val="35"/>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供应商应当在法定质疑期内一次性提出针对同一采购程序环节的质疑。供应商如在法定期限内对同一采购程序环节提出多次质疑的，代理将只对供应商第一次质疑作出答复。</w:t>
      </w:r>
      <w:r>
        <w:rPr>
          <w:rFonts w:ascii="宋体" w:hAnsi="宋体"/>
          <w:bCs/>
          <w:color w:val="auto"/>
          <w:szCs w:val="21"/>
          <w:highlight w:val="none"/>
          <w:shd w:val="clear" w:color="auto" w:fill="auto"/>
        </w:rPr>
        <w:t xml:space="preserve">迟于相关规定时间提交的</w:t>
      </w:r>
      <w:r>
        <w:rPr>
          <w:rFonts w:hint="eastAsia" w:ascii="宋体" w:hAnsi="宋体"/>
          <w:bCs/>
          <w:color w:val="auto"/>
          <w:szCs w:val="21"/>
          <w:highlight w:val="none"/>
          <w:shd w:val="clear" w:color="auto" w:fill="auto"/>
        </w:rPr>
        <w:t xml:space="preserve">质疑</w:t>
      </w:r>
      <w:r>
        <w:rPr>
          <w:rFonts w:ascii="宋体" w:hAnsi="宋体"/>
          <w:bCs/>
          <w:color w:val="auto"/>
          <w:szCs w:val="21"/>
          <w:highlight w:val="none"/>
          <w:shd w:val="clear" w:color="auto" w:fill="auto"/>
        </w:rPr>
        <w:t xml:space="preserve">，</w:t>
      </w:r>
      <w:r>
        <w:rPr>
          <w:rFonts w:hint="eastAsia" w:ascii="宋体" w:hAnsi="宋体"/>
          <w:bCs/>
          <w:color w:val="auto"/>
          <w:szCs w:val="21"/>
          <w:highlight w:val="none"/>
          <w:shd w:val="clear" w:color="auto" w:fill="auto"/>
        </w:rPr>
        <w:t xml:space="preserve">采购方或</w:t>
      </w:r>
      <w:r>
        <w:rPr>
          <w:rFonts w:ascii="宋体" w:hAnsi="宋体"/>
          <w:bCs/>
          <w:color w:val="auto"/>
          <w:szCs w:val="21"/>
          <w:highlight w:val="none"/>
          <w:shd w:val="clear" w:color="auto" w:fill="auto"/>
        </w:rPr>
        <w:t xml:space="preserve">采购代理机构</w:t>
      </w:r>
      <w:r>
        <w:rPr>
          <w:rFonts w:hint="eastAsia" w:ascii="宋体" w:hAnsi="宋体"/>
          <w:bCs/>
          <w:color w:val="auto"/>
          <w:szCs w:val="21"/>
          <w:highlight w:val="none"/>
          <w:shd w:val="clear" w:color="auto" w:fill="auto"/>
        </w:rPr>
        <w:t xml:space="preserve">将按照相关法律法规的规定</w:t>
      </w:r>
      <w:r>
        <w:rPr>
          <w:rFonts w:ascii="宋体" w:hAnsi="宋体"/>
          <w:bCs/>
          <w:color w:val="auto"/>
          <w:szCs w:val="21"/>
          <w:highlight w:val="none"/>
          <w:shd w:val="clear" w:color="auto" w:fill="auto"/>
        </w:rPr>
        <w:t xml:space="preserve">拒绝回答</w:t>
      </w:r>
      <w:r>
        <w:rPr>
          <w:rFonts w:hint="eastAsia" w:ascii="宋体" w:hAnsi="宋体"/>
          <w:bCs/>
          <w:color w:val="auto"/>
          <w:szCs w:val="21"/>
          <w:highlight w:val="none"/>
          <w:shd w:val="clear" w:color="auto" w:fill="auto"/>
        </w:rPr>
        <w:t xml:space="preserve">。</w:t>
      </w:r>
      <w:r/>
    </w:p>
    <w:p>
      <w:pPr>
        <w:ind w:left="540"/>
        <w:spacing w:line="400" w:lineRule="exact"/>
        <w:tabs>
          <w:tab w:val="left" w:pos="540" w:leader="none"/>
        </w:tabs>
        <w:rPr>
          <w:rFonts w:hint="eastAsia" w:ascii="宋体" w:hAnsi="宋体"/>
          <w:color w:val="auto"/>
          <w:highlight w:val="none"/>
          <w:shd w:val="clear" w:color="auto" w:fill="auto"/>
        </w:rPr>
      </w:pPr>
      <w:r>
        <w:rPr>
          <w:rFonts w:hint="eastAsia" w:ascii="宋体" w:hAnsi="宋体"/>
          <w:bCs/>
          <w:color w:val="auto"/>
          <w:szCs w:val="21"/>
          <w:highlight w:val="none"/>
          <w:shd w:val="clear" w:color="auto" w:fill="auto"/>
        </w:rPr>
        <w:t xml:space="preserve">质疑</w:t>
      </w:r>
      <w:r>
        <w:rPr>
          <w:rFonts w:hint="eastAsia" w:ascii="宋体" w:hAnsi="宋体"/>
          <w:color w:val="auto"/>
          <w:highlight w:val="none"/>
          <w:shd w:val="clear" w:color="auto" w:fill="auto"/>
        </w:rPr>
        <w:t xml:space="preserve">联系部门：业务部-金健</w:t>
      </w:r>
      <w:r/>
    </w:p>
    <w:p>
      <w:pPr>
        <w:ind w:left="540"/>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联系电话：0512-68364647/68361806</w:t>
      </w:r>
      <w:r/>
    </w:p>
    <w:p>
      <w:pPr>
        <w:ind w:left="540"/>
        <w:spacing w:line="400" w:lineRule="exact"/>
        <w:tabs>
          <w:tab w:val="left" w:pos="540" w:leader="none"/>
        </w:tabs>
        <w:rPr>
          <w:rFonts w:hint="eastAsia" w:ascii="宋体" w:hAnsi="宋体"/>
          <w:bCs/>
          <w:color w:val="auto"/>
          <w:szCs w:val="21"/>
          <w:highlight w:val="none"/>
          <w:shd w:val="clear" w:color="auto" w:fill="auto"/>
        </w:rPr>
      </w:pPr>
      <w:r>
        <w:rPr>
          <w:rFonts w:hint="eastAsia" w:ascii="宋体" w:hAnsi="宋体"/>
          <w:color w:val="auto"/>
          <w:highlight w:val="none"/>
          <w:shd w:val="clear" w:color="auto" w:fill="auto"/>
        </w:rPr>
        <w:t xml:space="preserve">通讯地址：</w:t>
      </w:r>
      <w:r>
        <w:rPr>
          <w:rFonts w:ascii="宋体" w:hAnsi="宋体"/>
          <w:bCs/>
          <w:color w:val="auto"/>
          <w:szCs w:val="21"/>
          <w:highlight w:val="none"/>
          <w:shd w:val="clear" w:color="auto" w:fill="auto"/>
        </w:rPr>
        <w:t xml:space="preserve">苏州市</w:t>
      </w:r>
      <w:r>
        <w:rPr>
          <w:rFonts w:hint="eastAsia" w:ascii="宋体" w:hAnsi="宋体"/>
          <w:bCs/>
          <w:color w:val="auto"/>
          <w:szCs w:val="21"/>
          <w:highlight w:val="none"/>
          <w:shd w:val="clear" w:color="auto" w:fill="auto"/>
        </w:rPr>
        <w:t xml:space="preserve">三香路万盛大厦13楼B 座</w:t>
      </w:r>
      <w:r/>
    </w:p>
    <w:p>
      <w:pPr>
        <w:numPr>
          <w:ilvl w:val="0"/>
          <w:numId w:val="35"/>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numPr>
          <w:ilvl w:val="0"/>
          <w:numId w:val="35"/>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numPr>
          <w:ilvl w:val="0"/>
          <w:numId w:val="35"/>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numPr>
          <w:ilvl w:val="0"/>
          <w:numId w:val="18"/>
        </w:numPr>
        <w:ind w:left="525" w:hanging="525"/>
        <w:spacing w:line="400" w:lineRule="exact"/>
        <w:tabs>
          <w:tab w:val="clear" w:pos="420" w:leader="none"/>
          <w:tab w:val="left" w:pos="525" w:leader="none"/>
          <w:tab w:val="left" w:pos="567" w:leader="none"/>
        </w:tabs>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磋商程序：</w:t>
      </w:r>
      <w:r/>
    </w:p>
    <w:p>
      <w:pPr>
        <w:numPr>
          <w:ilvl w:val="0"/>
          <w:numId w:val="37"/>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采购代理机构按本采购文件规定的时间、地点主持磋商采购活动。</w:t>
      </w:r>
      <w:r/>
    </w:p>
    <w:p>
      <w:pPr>
        <w:numPr>
          <w:ilvl w:val="0"/>
          <w:numId w:val="37"/>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供应商通过“苏采云”系统在线参与磋商活动。供应商应当按照《苏采云系统供应商操作手册》规定在“苏采云”系统在规定的时间内对响应文件进行解密，否则视为放弃参与磋商活动。</w:t>
      </w:r>
      <w:r/>
    </w:p>
    <w:p>
      <w:pPr>
        <w:numPr>
          <w:ilvl w:val="0"/>
          <w:numId w:val="37"/>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在磋商响应文件网上递交截止时间止成功解密的磋商供应商少于三家，则本次采购失败。</w:t>
      </w:r>
      <w:r/>
    </w:p>
    <w:p>
      <w:pPr>
        <w:numPr>
          <w:ilvl w:val="0"/>
          <w:numId w:val="37"/>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由磋商小组审查供应商解密的响应文件。</w:t>
      </w:r>
      <w:r/>
    </w:p>
    <w:p>
      <w:pPr>
        <w:numPr>
          <w:ilvl w:val="0"/>
          <w:numId w:val="37"/>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numPr>
          <w:ilvl w:val="0"/>
          <w:numId w:val="37"/>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highlight w:val="none"/>
          <w:shd w:val="clear" w:color="auto" w:fill="auto"/>
        </w:rPr>
        <w:t xml:space="preserve">磋商小组要求供应商澄清、</w:t>
      </w:r>
      <w:r>
        <w:rPr>
          <w:rFonts w:hint="eastAsia" w:ascii="宋体" w:hAnsi="宋体"/>
          <w:color w:val="auto"/>
          <w:szCs w:val="21"/>
          <w:highlight w:val="none"/>
          <w:shd w:val="clear" w:color="auto" w:fill="auto"/>
        </w:rPr>
        <w:t xml:space="preserve">说明或者更正响应文件应当以书面形式做出。供应商的澄清、说明或者更正应当由其单位加盖电子公章。</w:t>
      </w:r>
      <w:r/>
    </w:p>
    <w:p>
      <w:pPr>
        <w:numPr>
          <w:ilvl w:val="0"/>
          <w:numId w:val="38"/>
        </w:numPr>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本项目</w:t>
      </w:r>
      <w:r>
        <w:rPr>
          <w:rFonts w:hint="eastAsia" w:ascii="宋体" w:hAnsi="宋体"/>
          <w:color w:val="auto"/>
          <w:highlight w:val="none"/>
          <w:shd w:val="clear" w:color="auto" w:fill="auto"/>
        </w:rPr>
        <w:t xml:space="preserve">供应商</w:t>
      </w:r>
      <w:r>
        <w:rPr>
          <w:rFonts w:hint="eastAsia" w:ascii="宋体" w:hAnsi="宋体"/>
          <w:color w:val="auto"/>
          <w:szCs w:val="21"/>
          <w:highlight w:val="none"/>
          <w:shd w:val="clear" w:color="auto" w:fill="auto"/>
        </w:rPr>
        <w:t xml:space="preserve">的澄清、说明或者补正采用线上澄清：磋商小组将通过“苏采云”系统向供应商发布“澄清要求</w:t>
      </w:r>
      <w:r>
        <w:rPr>
          <w:rFonts w:hint="eastAsia" w:ascii="宋体" w:hAnsi="宋体"/>
          <w:color w:val="auto"/>
          <w:highlight w:val="none"/>
          <w:shd w:val="clear" w:color="auto" w:fill="auto"/>
        </w:rPr>
        <w:t xml:space="preserve">函”，接到“澄清要求函”的供应商应当按要求在规定时间内通过“苏采云”系统提交“澄清响应函”并加盖CA电子公章，澄清、说明和补充的内容作为响应文件的补充部分。（此处规定时间的计算以系统中的倒计时间为准，供应</w:t>
      </w:r>
      <w:r>
        <w:rPr>
          <w:rFonts w:hint="eastAsia" w:ascii="宋体" w:hAnsi="宋体"/>
          <w:color w:val="auto"/>
          <w:szCs w:val="21"/>
          <w:highlight w:val="none"/>
          <w:shd w:val="clear" w:color="auto" w:fill="auto"/>
        </w:rPr>
        <w:t xml:space="preserve">商应随时保持系统在线，如因供应商自身原因未在规定时间内提交澄清确认资料的，导致的不利后果由供应商自行承担）。</w:t>
      </w:r>
      <w:r/>
    </w:p>
    <w:p>
      <w:pPr>
        <w:numPr>
          <w:ilvl w:val="0"/>
          <w:numId w:val="37"/>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szCs w:val="21"/>
          <w:highlight w:val="none"/>
          <w:shd w:val="clear" w:color="auto" w:fill="auto"/>
        </w:rPr>
        <w:t xml:space="preserve">对</w:t>
      </w:r>
      <w:r>
        <w:rPr>
          <w:rFonts w:hint="eastAsia" w:ascii="宋体" w:hAnsi="宋体"/>
          <w:color w:val="auto"/>
          <w:highlight w:val="none"/>
          <w:shd w:val="clear" w:color="auto" w:fill="auto"/>
        </w:rPr>
        <w:t xml:space="preserve">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numPr>
          <w:ilvl w:val="0"/>
          <w:numId w:val="37"/>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numPr>
          <w:ilvl w:val="0"/>
          <w:numId w:val="37"/>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磋商结束后，磋商小组将在“苏采云”系统向所有实质性响应的供应商发布“最后报价要求函”及最后报价格式表，要求所有实质性响应的供应商在规定时间内提交最后报价。</w:t>
      </w:r>
      <w:r/>
    </w:p>
    <w:p>
      <w:pPr>
        <w:numPr>
          <w:ilvl w:val="0"/>
          <w:numId w:val="37"/>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highlight w:val="none"/>
          <w:shd w:val="clear" w:color="auto" w:fill="auto"/>
        </w:rPr>
        <w:t xml:space="preserve">供应商未在磋商小组规定的时间内在“苏采云”系统中提交最后报价的视为放弃磋商，其响应文件按无效响应处理，最后报</w:t>
      </w:r>
      <w:r>
        <w:rPr>
          <w:rFonts w:hint="eastAsia" w:ascii="宋体" w:hAnsi="宋体"/>
          <w:color w:val="auto"/>
          <w:szCs w:val="21"/>
          <w:highlight w:val="none"/>
          <w:shd w:val="clear" w:color="auto" w:fill="auto"/>
        </w:rPr>
        <w:t xml:space="preserve">价格式表须加盖CA电子公章,否则视为未提交最后报价（此处规定时间的计算以系统中的倒计时间为准，系统中的线上最后报价只有一次机会，提交后无法撤回，请供应商慎重提交）。</w:t>
      </w:r>
      <w:r/>
    </w:p>
    <w:p>
      <w:pPr>
        <w:numPr>
          <w:ilvl w:val="0"/>
          <w:numId w:val="39"/>
        </w:numPr>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已提交响应文件的供应商，在提交最后报价之前，可以根据磋商情况退出磋商，并在“苏采云”系统中提交“退出磋商函”并加盖CA电子公章。</w:t>
      </w:r>
      <w:r/>
    </w:p>
    <w:p>
      <w:pPr>
        <w:numPr>
          <w:ilvl w:val="0"/>
          <w:numId w:val="39"/>
        </w:numPr>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进入项目评审流程后，建议各供应商法定代表人或授权委托人始终保持通讯顺畅，及时登录苏采云系统查阅、答复相关信息。 </w:t>
      </w:r>
      <w:r/>
    </w:p>
    <w:p>
      <w:pPr>
        <w:numPr>
          <w:ilvl w:val="0"/>
          <w:numId w:val="37"/>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szCs w:val="21"/>
          <w:highlight w:val="none"/>
          <w:shd w:val="clear" w:color="auto" w:fill="auto"/>
        </w:rPr>
        <w:t xml:space="preserve">经</w:t>
      </w:r>
      <w:r>
        <w:rPr>
          <w:rFonts w:hint="eastAsia" w:ascii="宋体" w:hAnsi="宋体"/>
          <w:color w:val="auto"/>
          <w:highlight w:val="none"/>
          <w:shd w:val="clear" w:color="auto" w:fill="auto"/>
        </w:rPr>
        <w:t xml:space="preserve">磋商确定最终采购需求和提交最后报价的供应商后，由磋商小组采用综合评分法对提交最后报价的供应商的响应文件和最后报价进行综合评分。 </w:t>
      </w:r>
      <w:r/>
    </w:p>
    <w:p>
      <w:pPr>
        <w:numPr>
          <w:ilvl w:val="0"/>
          <w:numId w:val="37"/>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磋商小组根据磋商成交原则确定成交供应商，并将结果通知所有参加磋商的供应商。</w:t>
      </w:r>
      <w:r/>
    </w:p>
    <w:p>
      <w:pPr>
        <w:numPr>
          <w:ilvl w:val="0"/>
          <w:numId w:val="37"/>
        </w:numPr>
        <w:spacing w:line="400" w:lineRule="exact"/>
        <w:tabs>
          <w:tab w:val="left" w:pos="540" w:leader="none"/>
        </w:tabs>
        <w:rPr>
          <w:rFonts w:hint="eastAsia" w:ascii="宋体" w:hAnsi="宋体" w:cs="宋体"/>
          <w:color w:val="auto"/>
          <w:szCs w:val="21"/>
          <w:highlight w:val="none"/>
          <w:shd w:val="clear" w:color="auto" w:fill="auto"/>
        </w:rPr>
      </w:pPr>
      <w:r>
        <w:rPr>
          <w:rFonts w:hint="eastAsia" w:ascii="宋体" w:hAnsi="宋体"/>
          <w:color w:val="auto"/>
          <w:highlight w:val="none"/>
          <w:shd w:val="clear" w:color="auto" w:fill="auto"/>
        </w:rPr>
        <w:t xml:space="preserve">如磋商</w:t>
      </w:r>
      <w:r>
        <w:rPr>
          <w:rFonts w:hint="eastAsia" w:ascii="宋体" w:hAnsi="宋体"/>
          <w:color w:val="auto"/>
          <w:szCs w:val="21"/>
          <w:highlight w:val="none"/>
          <w:shd w:val="clear" w:color="auto" w:fill="auto"/>
        </w:rPr>
        <w:t xml:space="preserve">过程中出现本采购文件未尽事宜，由磋商小组根据政府采购有关法律、法规讨论决定。</w:t>
      </w:r>
      <w:r/>
    </w:p>
    <w:p>
      <w:pPr>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br w:type="page" w:clear="all"/>
      </w:r>
      <w:r/>
    </w:p>
    <w:p>
      <w:pPr>
        <w:jc w:val="center"/>
        <w:spacing w:line="40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t xml:space="preserve">三、磋商成交原则及评分标准</w:t>
      </w:r>
      <w:r/>
    </w:p>
    <w:p>
      <w:pPr>
        <w:ind w:left="-525"/>
        <w:jc w:val="center"/>
        <w:spacing w:line="400" w:lineRule="exact"/>
        <w:tabs>
          <w:tab w:val="left" w:pos="525" w:leader="none"/>
        </w:tabs>
        <w:rPr>
          <w:rFonts w:hint="eastAsia" w:ascii="宋体" w:hAnsi="宋体"/>
          <w:b/>
          <w:color w:val="auto"/>
          <w:highlight w:val="none"/>
          <w:shd w:val="clear" w:color="auto" w:fill="auto"/>
        </w:rPr>
      </w:pPr>
      <w:r>
        <w:rPr>
          <w:rFonts w:hint="eastAsia" w:ascii="宋体" w:hAnsi="宋体"/>
          <w:b/>
          <w:color w:val="auto"/>
          <w:highlight w:val="none"/>
          <w:shd w:val="clear" w:color="auto" w:fill="auto"/>
        </w:rPr>
        <w:t xml:space="preserve">成交原则</w:t>
      </w:r>
      <w:r/>
    </w:p>
    <w:p>
      <w:pPr>
        <w:numPr>
          <w:ilvl w:val="0"/>
          <w:numId w:val="40"/>
        </w:numPr>
        <w:ind w:left="525" w:hanging="525"/>
        <w:spacing w:line="400" w:lineRule="exact"/>
        <w:tabs>
          <w:tab w:val="left" w:pos="525" w:leader="none"/>
        </w:tabs>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本次</w:t>
      </w:r>
      <w:r>
        <w:rPr>
          <w:rFonts w:hint="eastAsia" w:ascii="宋体" w:hAnsi="宋体"/>
          <w:color w:val="auto"/>
          <w:szCs w:val="21"/>
          <w:highlight w:val="none"/>
          <w:shd w:val="clear" w:color="auto" w:fill="auto"/>
        </w:rPr>
        <w:t xml:space="preserve">采购采用综合评分法，即在</w:t>
      </w:r>
      <w:r>
        <w:rPr>
          <w:rFonts w:ascii="宋体" w:hAnsi="宋体"/>
          <w:color w:val="auto"/>
          <w:szCs w:val="21"/>
          <w:highlight w:val="none"/>
          <w:shd w:val="clear" w:color="auto" w:fill="auto"/>
        </w:rPr>
        <w:t xml:space="preserve">响应文件满足磋商文件全部实质性要求</w:t>
      </w:r>
      <w:r>
        <w:rPr>
          <w:rFonts w:hint="eastAsia" w:ascii="宋体" w:hAnsi="宋体"/>
          <w:color w:val="auto"/>
          <w:szCs w:val="21"/>
          <w:highlight w:val="none"/>
          <w:shd w:val="clear" w:color="auto" w:fill="auto"/>
        </w:rPr>
        <w:t xml:space="preserve">，</w:t>
      </w:r>
      <w:r>
        <w:rPr>
          <w:rFonts w:ascii="宋体" w:hAnsi="宋体"/>
          <w:color w:val="auto"/>
          <w:szCs w:val="21"/>
          <w:highlight w:val="none"/>
          <w:shd w:val="clear" w:color="auto" w:fill="auto"/>
        </w:rPr>
        <w:t xml:space="preserve">且按评审因素的量化指标</w:t>
      </w:r>
      <w:r>
        <w:rPr>
          <w:rFonts w:hint="eastAsia" w:ascii="宋体" w:hAnsi="宋体"/>
          <w:color w:val="auto"/>
          <w:szCs w:val="21"/>
          <w:highlight w:val="none"/>
          <w:shd w:val="clear" w:color="auto" w:fill="auto"/>
        </w:rPr>
        <w:t xml:space="preserve">进行</w:t>
      </w:r>
      <w:r>
        <w:rPr>
          <w:rFonts w:ascii="宋体" w:hAnsi="宋体"/>
          <w:color w:val="auto"/>
          <w:szCs w:val="21"/>
          <w:highlight w:val="none"/>
          <w:shd w:val="clear" w:color="auto" w:fill="auto"/>
        </w:rPr>
        <w:t xml:space="preserve">评审</w:t>
      </w:r>
      <w:r>
        <w:rPr>
          <w:rFonts w:hint="eastAsia" w:ascii="宋体" w:hAnsi="宋体"/>
          <w:color w:val="auto"/>
          <w:szCs w:val="21"/>
          <w:highlight w:val="none"/>
          <w:shd w:val="clear" w:color="auto" w:fill="auto"/>
        </w:rPr>
        <w:t xml:space="preserve">综合，</w:t>
      </w:r>
      <w:r>
        <w:rPr>
          <w:rFonts w:hint="eastAsia"/>
          <w:color w:val="auto"/>
          <w:highlight w:val="none"/>
          <w:shd w:val="clear" w:color="auto" w:fill="auto"/>
        </w:rPr>
        <w:t xml:space="preserve">综合得分最高的响应供应商成为成交供应商。</w:t>
      </w:r>
      <w:r/>
    </w:p>
    <w:p>
      <w:pPr>
        <w:numPr>
          <w:ilvl w:val="0"/>
          <w:numId w:val="40"/>
        </w:numPr>
        <w:ind w:left="525" w:hanging="525"/>
        <w:spacing w:line="400" w:lineRule="exact"/>
        <w:tabs>
          <w:tab w:val="left" w:pos="525" w:leader="none"/>
          <w:tab w:val="left" w:pos="2870" w:leader="none"/>
        </w:tabs>
        <w:rPr>
          <w:rFonts w:hint="eastAsia" w:ascii="宋体" w:hAnsi="宋体" w:cs="宋体"/>
          <w:color w:val="auto"/>
          <w:highlight w:val="none"/>
          <w:shd w:val="clear" w:color="auto" w:fill="auto"/>
        </w:rPr>
      </w:pPr>
      <w:r>
        <w:rPr>
          <w:rFonts w:hint="eastAsia" w:ascii="宋体" w:hAnsi="宋体"/>
          <w:color w:val="auto"/>
          <w:szCs w:val="21"/>
          <w:highlight w:val="none"/>
          <w:shd w:val="clear" w:color="auto" w:fill="auto"/>
        </w:rPr>
        <w:t xml:space="preserve">如出现评标总得分最高的磋商响应单位有两个以上的，以实际</w:t>
      </w:r>
      <w:r>
        <w:rPr>
          <w:rFonts w:ascii="宋体" w:hAnsi="宋体"/>
          <w:color w:val="auto"/>
          <w:szCs w:val="21"/>
          <w:highlight w:val="none"/>
          <w:shd w:val="clear" w:color="auto" w:fill="auto"/>
        </w:rPr>
        <w:t xml:space="preserve">投标报价较低者优先作为</w:t>
      </w:r>
      <w:r>
        <w:rPr>
          <w:rFonts w:hint="eastAsia" w:ascii="宋体" w:hAnsi="宋体"/>
          <w:color w:val="auto"/>
          <w:szCs w:val="21"/>
          <w:highlight w:val="none"/>
          <w:shd w:val="clear" w:color="auto" w:fill="auto"/>
        </w:rPr>
        <w:t xml:space="preserve">成交</w:t>
      </w:r>
      <w:r>
        <w:rPr>
          <w:rFonts w:ascii="宋体" w:hAnsi="宋体"/>
          <w:color w:val="auto"/>
          <w:szCs w:val="21"/>
          <w:highlight w:val="none"/>
          <w:shd w:val="clear" w:color="auto" w:fill="auto"/>
        </w:rPr>
        <w:t xml:space="preserve">候选人</w:t>
      </w:r>
      <w:r>
        <w:rPr>
          <w:rFonts w:hint="eastAsia" w:ascii="宋体" w:hAnsi="宋体"/>
          <w:color w:val="auto"/>
          <w:szCs w:val="21"/>
          <w:highlight w:val="none"/>
          <w:shd w:val="clear" w:color="auto" w:fill="auto"/>
        </w:rPr>
        <w:t xml:space="preserve">；</w:t>
      </w:r>
      <w:r>
        <w:rPr>
          <w:rFonts w:ascii="宋体" w:hAnsi="宋体"/>
          <w:color w:val="auto"/>
          <w:szCs w:val="21"/>
          <w:highlight w:val="none"/>
          <w:shd w:val="clear" w:color="auto" w:fill="auto"/>
        </w:rPr>
        <w:t xml:space="preserve">如果</w:t>
      </w:r>
      <w:r>
        <w:rPr>
          <w:rFonts w:hint="eastAsia" w:ascii="宋体" w:hAnsi="宋体"/>
          <w:color w:val="auto"/>
          <w:szCs w:val="21"/>
          <w:highlight w:val="none"/>
          <w:shd w:val="clear" w:color="auto" w:fill="auto"/>
        </w:rPr>
        <w:t xml:space="preserve">投标报</w:t>
      </w:r>
      <w:r>
        <w:rPr>
          <w:rFonts w:hint="eastAsia" w:ascii="宋体" w:hAnsi="宋体" w:cs="宋体"/>
          <w:color w:val="auto"/>
          <w:szCs w:val="21"/>
          <w:highlight w:val="none"/>
          <w:shd w:val="clear" w:color="auto" w:fill="auto"/>
        </w:rPr>
        <w:t xml:space="preserve">价也相同的，则由代理机构组织以抽签方式确定成交候选人</w:t>
      </w:r>
      <w:r>
        <w:rPr>
          <w:rFonts w:hint="eastAsia" w:ascii="宋体" w:hAnsi="宋体" w:cs="宋体"/>
          <w:color w:val="auto"/>
          <w:highlight w:val="none"/>
          <w:shd w:val="clear" w:color="auto" w:fill="auto"/>
        </w:rPr>
        <w:t xml:space="preserve">。</w:t>
      </w:r>
      <w:r/>
    </w:p>
    <w:p>
      <w:pPr>
        <w:numPr>
          <w:ilvl w:val="0"/>
          <w:numId w:val="40"/>
        </w:numPr>
        <w:ind w:left="525" w:hanging="525"/>
        <w:spacing w:line="400" w:lineRule="exact"/>
        <w:tabs>
          <w:tab w:val="left" w:pos="525" w:leader="none"/>
          <w:tab w:val="left" w:pos="2870" w:leader="none"/>
        </w:tabs>
        <w:rPr>
          <w:rFonts w:hint="eastAsia" w:ascii="宋体" w:hAnsi="宋体" w:cs="宋体"/>
          <w:color w:val="auto"/>
          <w:szCs w:val="21"/>
          <w:highlight w:val="none"/>
          <w:shd w:val="clear" w:color="auto" w:fill="auto"/>
        </w:rPr>
      </w:pPr>
      <w:r>
        <w:rPr>
          <w:rFonts w:hint="eastAsia" w:ascii="宋体" w:hAnsi="宋体" w:eastAsia="宋体" w:cs="Times New Roman"/>
          <w:color w:val="auto"/>
          <w:szCs w:val="21"/>
          <w:highlight w:val="none"/>
          <w:shd w:val="clear" w:color="auto" w:fill="auto"/>
        </w:rPr>
        <w:t xml:space="preserve">评审</w:t>
      </w:r>
      <w:r>
        <w:rPr>
          <w:rFonts w:hint="eastAsia" w:ascii="宋体" w:hAnsi="宋体" w:cs="宋体"/>
          <w:color w:val="auto"/>
          <w:szCs w:val="21"/>
          <w:highlight w:val="none"/>
          <w:shd w:val="clear" w:color="auto" w:fill="auto"/>
        </w:rPr>
        <w:t xml:space="preserve">过程中出现下列情形之一的，评审委员会</w:t>
      </w:r>
      <w:r>
        <w:rPr>
          <w:rFonts w:hint="eastAsia" w:ascii="宋体" w:hAnsi="宋体" w:cs="宋体"/>
          <w:color w:val="auto"/>
          <w:szCs w:val="21"/>
          <w:highlight w:val="none"/>
          <w:shd w:val="clear" w:color="auto" w:fill="auto"/>
          <w:lang w:val="en-US" w:eastAsia="zh-CN"/>
        </w:rPr>
        <w:t xml:space="preserve">将</w:t>
      </w:r>
      <w:r>
        <w:rPr>
          <w:rFonts w:hint="eastAsia" w:ascii="宋体" w:hAnsi="宋体" w:cs="宋体"/>
          <w:color w:val="auto"/>
          <w:szCs w:val="21"/>
          <w:highlight w:val="none"/>
          <w:shd w:val="clear" w:color="auto" w:fill="auto"/>
        </w:rPr>
        <w:t xml:space="preserve">启动异常低价投标（响应）审查程序：</w:t>
      </w:r>
      <w:r/>
    </w:p>
    <w:p>
      <w:pPr>
        <w:numPr>
          <w:ilvl w:val="0"/>
          <w:numId w:val="41"/>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投标（响应）报价低于采购项目预算50%的，即投标（响应）报价&lt;采购项目预算×50%；</w:t>
      </w:r>
      <w:r/>
    </w:p>
    <w:p>
      <w:pPr>
        <w:numPr>
          <w:ilvl w:val="0"/>
          <w:numId w:val="41"/>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投标（响应）报价低于采购项目最高限价45%的，即投标（响应）报价&lt;采购项目最高限价×45%；</w:t>
      </w:r>
      <w:r/>
    </w:p>
    <w:p>
      <w:pPr>
        <w:numPr>
          <w:ilvl w:val="0"/>
          <w:numId w:val="41"/>
        </w:numPr>
        <w:ind w:left="567" w:hanging="567"/>
        <w:keepLines w:val="0"/>
        <w:keepNext w:val="0"/>
        <w:pageBreakBefore w:val="0"/>
        <w:spacing w:line="40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评审委员会认定的供应商报价过低、有可能影响产品质量或者不能诚信履约的其他情形。</w:t>
      </w:r>
      <w:r/>
    </w:p>
    <w:p>
      <w:pPr>
        <w:numPr>
          <w:ilvl w:val="0"/>
          <w:numId w:val="40"/>
        </w:numPr>
        <w:ind w:left="525" w:hanging="525"/>
        <w:spacing w:line="400" w:lineRule="exact"/>
        <w:tabs>
          <w:tab w:val="left" w:pos="525" w:leader="none"/>
          <w:tab w:val="left" w:pos="2870" w:leader="none"/>
        </w:tabs>
        <w:rPr>
          <w:rFonts w:ascii="宋体" w:hAnsi="宋体"/>
          <w:color w:val="auto"/>
          <w:highlight w:val="none"/>
          <w:shd w:val="clear" w:color="auto" w:fill="auto"/>
        </w:rPr>
      </w:pPr>
      <w:r>
        <w:rPr>
          <w:rFonts w:hint="eastAsia" w:ascii="宋体" w:hAnsi="宋体" w:eastAsia="宋体" w:cs="Times New Roman"/>
          <w:color w:val="auto"/>
          <w:szCs w:val="21"/>
          <w:highlight w:val="none"/>
          <w:shd w:val="clear" w:color="auto" w:fill="auto"/>
        </w:rPr>
        <w:t xml:space="preserve">启动</w:t>
      </w:r>
      <w:r>
        <w:rPr>
          <w:rFonts w:hint="eastAsia" w:ascii="宋体" w:hAnsi="宋体" w:cs="宋体"/>
          <w:color w:val="auto"/>
          <w:szCs w:val="21"/>
          <w:highlight w:val="none"/>
          <w:shd w:val="clear" w:color="auto" w:fill="auto"/>
        </w:rPr>
        <w:t xml:space="preserve">异常低价投标（响应）审查后，评审委员会</w:t>
      </w:r>
      <w:r>
        <w:rPr>
          <w:rFonts w:hint="eastAsia" w:ascii="宋体" w:hAnsi="宋体" w:cs="宋体"/>
          <w:color w:val="auto"/>
          <w:szCs w:val="21"/>
          <w:highlight w:val="none"/>
          <w:shd w:val="clear" w:color="auto" w:fill="auto"/>
          <w:lang w:val="en-US" w:eastAsia="zh-CN"/>
        </w:rPr>
        <w:t xml:space="preserve">将</w:t>
      </w:r>
      <w:r>
        <w:rPr>
          <w:rFonts w:hint="eastAsia" w:ascii="宋体" w:hAnsi="宋体" w:cs="宋体"/>
          <w:color w:val="auto"/>
          <w:szCs w:val="21"/>
          <w:highlight w:val="none"/>
          <w:shd w:val="clear" w:color="auto" w:fill="auto"/>
        </w:rPr>
        <w:t xml:space="preserve">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w:t>
      </w:r>
      <w:r>
        <w:rPr>
          <w:rFonts w:hint="eastAsia" w:ascii="宋体" w:hAnsi="宋体" w:cs="宋体"/>
          <w:color w:val="auto"/>
          <w:szCs w:val="21"/>
          <w:highlight w:val="none"/>
          <w:shd w:val="clear" w:color="auto" w:fill="auto"/>
          <w:lang w:val="en-US" w:eastAsia="zh-CN"/>
        </w:rPr>
        <w:t xml:space="preserve">将</w:t>
      </w:r>
      <w:r>
        <w:rPr>
          <w:rFonts w:hint="eastAsia" w:ascii="宋体" w:hAnsi="宋体" w:cs="宋体"/>
          <w:color w:val="auto"/>
          <w:szCs w:val="21"/>
          <w:highlight w:val="none"/>
          <w:shd w:val="clear" w:color="auto" w:fill="auto"/>
        </w:rPr>
        <w:t xml:space="preserve">在评审报告中进行记录。</w:t>
      </w:r>
      <w:r/>
    </w:p>
    <w:p>
      <w:pPr>
        <w:ind w:left="-525"/>
        <w:jc w:val="center"/>
        <w:spacing w:line="400" w:lineRule="exact"/>
        <w:tabs>
          <w:tab w:val="left" w:pos="525" w:leader="none"/>
        </w:tabs>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评分标准</w:t>
      </w:r>
      <w:r/>
    </w:p>
    <w:p>
      <w:pPr>
        <w:numPr>
          <w:ilvl w:val="0"/>
          <w:numId w:val="42"/>
        </w:numPr>
        <w:keepLines w:val="0"/>
        <w:keepNext w:val="0"/>
        <w:pageBreakBefore w:val="0"/>
        <w:spacing w:line="400" w:lineRule="exact"/>
        <w:tabs>
          <w:tab w:val="left" w:pos="420" w:leader="none"/>
        </w:tabs>
        <w:rPr>
          <w:rFonts w:hint="eastAsia" w:ascii="宋体" w:hAnsi="宋体" w:eastAsia="宋体" w:cs="宋体"/>
          <w:b/>
          <w:color w:val="auto"/>
          <w:sz w:val="21"/>
          <w:szCs w:val="21"/>
          <w:highlight w:val="none"/>
        </w:rPr>
        <w:outlineLvl w:val="0"/>
      </w:pPr>
      <w:r/>
      <w:bookmarkStart w:id="13" w:name="_Hlk165988719"/>
      <w:r>
        <w:rPr>
          <w:rFonts w:hint="eastAsia" w:ascii="宋体" w:hAnsi="宋体" w:eastAsia="宋体" w:cs="宋体"/>
          <w:b/>
          <w:color w:val="auto"/>
          <w:sz w:val="21"/>
          <w:szCs w:val="21"/>
          <w:highlight w:val="none"/>
        </w:rPr>
        <w:t xml:space="preserve">价格分（</w:t>
      </w: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0分）</w:t>
      </w:r>
      <w:r/>
    </w:p>
    <w:p>
      <w:pPr>
        <w:numPr>
          <w:ilvl w:val="0"/>
          <w:numId w:val="43"/>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shd w:val="clear" w:color="auto" w:fill="auto"/>
        </w:rPr>
        <w:outlineLvl w:val="9"/>
      </w:pPr>
      <w:r/>
      <w:bookmarkStart w:id="14" w:name="OLE_LINK9"/>
      <w:r/>
      <w:bookmarkStart w:id="15" w:name="OLE_LINK7"/>
      <w:r>
        <w:rPr>
          <w:rFonts w:hint="eastAsia" w:ascii="宋体" w:hAnsi="宋体" w:eastAsia="宋体" w:cs="宋体"/>
          <w:color w:val="auto"/>
          <w:sz w:val="21"/>
          <w:szCs w:val="21"/>
          <w:highlight w:val="none"/>
          <w:shd w:val="clear" w:color="auto" w:fill="auto"/>
        </w:rPr>
        <w:t xml:space="preserve">磋商报价不超过采购预算价格的，为有效磋商报价。超出此范围的磋商报价为无效磋商报价。无效磋商报价的响应文件不进行评审，也不得标。</w:t>
      </w:r>
      <w:r/>
    </w:p>
    <w:p>
      <w:pPr>
        <w:numPr>
          <w:ilvl w:val="0"/>
          <w:numId w:val="43"/>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shd w:val="clear" w:color="auto" w:fill="auto"/>
        </w:rPr>
        <w:outlineLvl w:val="9"/>
      </w:pPr>
      <w:r>
        <w:rPr>
          <w:rFonts w:hint="eastAsia" w:ascii="宋体" w:hAnsi="宋体" w:eastAsia="宋体" w:cs="宋体"/>
          <w:color w:val="auto"/>
          <w:sz w:val="21"/>
          <w:szCs w:val="21"/>
          <w:highlight w:val="none"/>
          <w:shd w:val="clear" w:color="auto" w:fill="auto"/>
        </w:rPr>
        <w:t xml:space="preserve">价格得分计算方法：根据各响应单位通过符合性审查的有效磋商报价中的最低价作为评</w:t>
      </w:r>
      <w:r>
        <w:rPr>
          <w:rFonts w:hint="eastAsia" w:ascii="宋体" w:hAnsi="宋体" w:eastAsia="宋体" w:cs="宋体"/>
          <w:color w:val="auto"/>
          <w:sz w:val="21"/>
          <w:szCs w:val="21"/>
          <w:highlight w:val="none"/>
          <w:shd w:val="clear" w:color="auto" w:fill="auto"/>
          <w:lang w:val="en-US" w:eastAsia="zh-CN"/>
        </w:rPr>
        <w:t xml:space="preserve">审</w:t>
      </w:r>
      <w:r>
        <w:rPr>
          <w:rFonts w:hint="eastAsia" w:ascii="宋体" w:hAnsi="宋体" w:eastAsia="宋体" w:cs="宋体"/>
          <w:color w:val="auto"/>
          <w:sz w:val="21"/>
          <w:szCs w:val="21"/>
          <w:highlight w:val="none"/>
          <w:shd w:val="clear" w:color="auto" w:fill="auto"/>
        </w:rPr>
        <w:t xml:space="preserve">基准价，其价格分为满分。</w:t>
      </w:r>
      <w:r/>
    </w:p>
    <w:p>
      <w:pPr>
        <w:ind w:firstLine="567"/>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auto"/>
        </w:rPr>
        <w:outlineLvl w:val="9"/>
      </w:pPr>
      <w:r>
        <w:rPr>
          <w:rFonts w:hint="eastAsia" w:ascii="宋体" w:hAnsi="宋体" w:eastAsia="宋体" w:cs="宋体"/>
          <w:color w:val="auto"/>
          <w:sz w:val="21"/>
          <w:szCs w:val="21"/>
          <w:highlight w:val="none"/>
          <w:shd w:val="clear" w:color="auto" w:fill="auto"/>
        </w:rPr>
        <w:t xml:space="preserve">其他响应单位的价格分统一按照下列公式计算：</w:t>
      </w:r>
      <w:r/>
    </w:p>
    <w:p>
      <w:pPr>
        <w:ind w:firstLine="567"/>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auto"/>
        </w:rPr>
        <w:outlineLvl w:val="9"/>
      </w:pPr>
      <w:r>
        <w:rPr>
          <w:rFonts w:hint="eastAsia" w:ascii="宋体" w:hAnsi="宋体" w:eastAsia="宋体" w:cs="宋体"/>
          <w:color w:val="auto"/>
          <w:sz w:val="21"/>
          <w:szCs w:val="21"/>
          <w:highlight w:val="none"/>
          <w:shd w:val="clear" w:color="auto" w:fill="auto"/>
        </w:rPr>
        <w:t xml:space="preserve">磋商报价得分=(评</w:t>
      </w:r>
      <w:r>
        <w:rPr>
          <w:rFonts w:hint="eastAsia" w:ascii="宋体" w:hAnsi="宋体" w:eastAsia="宋体" w:cs="宋体"/>
          <w:color w:val="auto"/>
          <w:sz w:val="21"/>
          <w:szCs w:val="21"/>
          <w:highlight w:val="none"/>
          <w:shd w:val="clear" w:color="auto" w:fill="auto"/>
          <w:lang w:val="en-US" w:eastAsia="zh-CN"/>
        </w:rPr>
        <w:t xml:space="preserve">审</w:t>
      </w:r>
      <w:r>
        <w:rPr>
          <w:rFonts w:hint="eastAsia" w:ascii="宋体" w:hAnsi="宋体" w:eastAsia="宋体" w:cs="宋体"/>
          <w:color w:val="auto"/>
          <w:sz w:val="21"/>
          <w:szCs w:val="21"/>
          <w:highlight w:val="none"/>
          <w:shd w:val="clear" w:color="auto" w:fill="auto"/>
        </w:rPr>
        <w:t xml:space="preserve">基准价／磋商报价)×价格权值</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lang w:val="en-US" w:eastAsia="zh-CN"/>
        </w:rPr>
        <w:t xml:space="preserve">20%</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rPr>
        <w:t xml:space="preserve">×100，小数点后保留两位。</w:t>
      </w:r>
      <w:r/>
    </w:p>
    <w:p>
      <w:pPr>
        <w:numPr>
          <w:ilvl w:val="0"/>
          <w:numId w:val="42"/>
        </w:numPr>
        <w:keepLines w:val="0"/>
        <w:keepNext w:val="0"/>
        <w:pageBreakBefore w:val="0"/>
        <w:spacing w:line="400" w:lineRule="exact"/>
        <w:tabs>
          <w:tab w:val="left" w:pos="420" w:leader="none"/>
        </w:tabs>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lang w:val="en-US" w:eastAsia="zh-CN"/>
        </w:rPr>
        <w:t xml:space="preserve">技术服务方案、水平</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50</w:t>
      </w:r>
      <w:r>
        <w:rPr>
          <w:rFonts w:hint="eastAsia" w:ascii="宋体" w:hAnsi="宋体" w:eastAsia="宋体" w:cs="宋体"/>
          <w:b/>
          <w:color w:val="auto"/>
          <w:sz w:val="21"/>
          <w:szCs w:val="21"/>
          <w:highlight w:val="none"/>
        </w:rPr>
        <w:t xml:space="preserve">分）</w:t>
      </w:r>
      <w:r/>
    </w:p>
    <w:p>
      <w:pPr>
        <w:numPr>
          <w:ilvl w:val="0"/>
          <w:numId w:val="44"/>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shd w:val="clear" w:color="auto" w:fill="auto"/>
        </w:rPr>
        <w:outlineLvl w:val="9"/>
      </w:pPr>
      <w:r>
        <w:rPr>
          <w:rFonts w:hint="eastAsia" w:ascii="宋体" w:hAnsi="宋体" w:eastAsia="宋体" w:cs="宋体"/>
          <w:color w:val="auto"/>
          <w:sz w:val="21"/>
          <w:szCs w:val="21"/>
          <w:highlight w:val="none"/>
          <w:shd w:val="clear" w:color="auto" w:fill="auto"/>
        </w:rPr>
        <w:t xml:space="preserve">运维实施方案（10分）</w:t>
      </w:r>
      <w:r/>
    </w:p>
    <w:p>
      <w:pPr>
        <w:ind w:left="567"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响应单位提供空气自动监测系统运维实施方案，对运维目标、运维内容等方面提供详细运维计划。运维实施方案详细全面、逻辑清晰、具有很强的可行性、针对性的得10分；运维实施方案较为详细、具有逻辑性、可行性、针对性的得7分；运维实施方案基本满足要求，逻辑性、可行性、针对性稍有欠缺的得4分；</w:t>
      </w:r>
      <w:r>
        <w:rPr>
          <w:rFonts w:hint="eastAsia" w:ascii="宋体" w:hAnsi="宋体" w:eastAsia="宋体" w:cs="宋体"/>
          <w:color w:val="auto"/>
          <w:sz w:val="21"/>
          <w:szCs w:val="21"/>
          <w:highlight w:val="none"/>
          <w:lang w:val="en-US" w:eastAsia="zh-CN"/>
        </w:rPr>
        <w:t xml:space="preserve">方案不太可行得得1分；</w:t>
      </w:r>
      <w:r>
        <w:rPr>
          <w:rFonts w:hint="eastAsia" w:ascii="宋体" w:hAnsi="宋体" w:eastAsia="宋体" w:cs="宋体"/>
          <w:color w:val="auto"/>
          <w:sz w:val="21"/>
          <w:szCs w:val="21"/>
          <w:highlight w:val="none"/>
        </w:rPr>
        <w:t xml:space="preserve">未提供运维实施方案的不得分。</w:t>
      </w:r>
      <w:r/>
    </w:p>
    <w:p>
      <w:pPr>
        <w:numPr>
          <w:ilvl w:val="0"/>
          <w:numId w:val="44"/>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质量控制</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ind w:left="567"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val="en-US" w:eastAsia="zh-CN"/>
        </w:rPr>
        <w:t xml:space="preserve">中国环境监测总站发布的</w:t>
      </w:r>
      <w:r>
        <w:rPr>
          <w:rFonts w:hint="eastAsia" w:ascii="宋体" w:hAnsi="宋体" w:eastAsia="宋体" w:cs="宋体"/>
          <w:color w:val="auto"/>
          <w:sz w:val="21"/>
          <w:szCs w:val="21"/>
          <w:highlight w:val="none"/>
        </w:rPr>
        <w:t xml:space="preserve">《国家环境空气监测网环境空气挥发性有机物连续自动监测质量控制技术规定（试行）》进行数据质控编写数据质控方案，方案中质量保证与质量控制体系完善，完全符合实际需求，并对应制定详实可行的质控措施，科学合理、针对性强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分；方案中建立了质量保证与质量控制体系，有具体的质控措施，但略有缺陷，比较合理、具有一定针对性得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分；方案中质量保证与质量控制体系</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完善，质控措施</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合理，</w:t>
      </w:r>
      <w:r>
        <w:rPr>
          <w:rFonts w:hint="eastAsia" w:ascii="宋体" w:hAnsi="宋体" w:eastAsia="宋体" w:cs="宋体"/>
          <w:color w:val="auto"/>
          <w:sz w:val="21"/>
          <w:szCs w:val="21"/>
          <w:highlight w:val="none"/>
          <w:lang w:val="en-US" w:eastAsia="zh-CN"/>
        </w:rPr>
        <w:t xml:space="preserve">基本可行</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方案不太可行得得1分；</w:t>
      </w:r>
      <w:r>
        <w:rPr>
          <w:rFonts w:hint="eastAsia" w:ascii="宋体" w:hAnsi="宋体" w:eastAsia="宋体" w:cs="宋体"/>
          <w:color w:val="auto"/>
          <w:sz w:val="21"/>
          <w:szCs w:val="21"/>
          <w:highlight w:val="none"/>
        </w:rPr>
        <w:t xml:space="preserve">未提供相关方案措施得不得分。</w:t>
      </w:r>
      <w:r/>
    </w:p>
    <w:p>
      <w:pPr>
        <w:numPr>
          <w:ilvl w:val="0"/>
          <w:numId w:val="44"/>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应急</w:t>
      </w:r>
      <w:r>
        <w:rPr>
          <w:rFonts w:hint="eastAsia" w:ascii="宋体" w:hAnsi="宋体" w:eastAsia="宋体" w:cs="宋体"/>
          <w:color w:val="auto"/>
          <w:sz w:val="21"/>
          <w:szCs w:val="21"/>
          <w:highlight w:val="none"/>
          <w:lang w:val="en-US" w:eastAsia="zh-CN"/>
        </w:rPr>
        <w:t xml:space="preserve">处理</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ind w:left="567"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根据响应单位提供的针对本项目可能出现的各种突发事件的预警及处理方案，判断其对运营期间出现的严重影响系统运行和数据质量的重大问题是否具备有效的预防和应急措施。应急方案全面、合理，工作流程完善的，应急情景、应急措施及解决方案详细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分；应急方案比较合理，有工作流程但略有缺陷，应急情景、应急措施及解决方案</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rPr>
        <w:t xml:space="preserve">详细得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分；应急方案</w:t>
      </w:r>
      <w:r>
        <w:rPr>
          <w:rFonts w:hint="eastAsia" w:ascii="宋体" w:hAnsi="宋体" w:eastAsia="宋体" w:cs="宋体"/>
          <w:color w:val="auto"/>
          <w:sz w:val="21"/>
          <w:szCs w:val="21"/>
          <w:highlight w:val="none"/>
          <w:lang w:val="en-US" w:eastAsia="zh-CN"/>
        </w:rPr>
        <w:t xml:space="preserve">简单</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基本可行</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分；应急方案</w:t>
      </w:r>
      <w:r>
        <w:rPr>
          <w:rFonts w:hint="eastAsia" w:ascii="宋体" w:hAnsi="宋体" w:eastAsia="宋体" w:cs="宋体"/>
          <w:color w:val="auto"/>
          <w:sz w:val="21"/>
          <w:szCs w:val="21"/>
          <w:highlight w:val="none"/>
          <w:lang w:val="en-US" w:eastAsia="zh-CN"/>
        </w:rPr>
        <w:t xml:space="preserve">不太可行的得1分；</w:t>
      </w:r>
      <w:r>
        <w:rPr>
          <w:rFonts w:hint="eastAsia" w:ascii="宋体" w:hAnsi="宋体" w:eastAsia="宋体" w:cs="宋体"/>
          <w:color w:val="auto"/>
          <w:sz w:val="21"/>
          <w:szCs w:val="21"/>
          <w:highlight w:val="none"/>
        </w:rPr>
        <w:t xml:space="preserve">未提供相关方案措施的不得分。</w:t>
      </w:r>
      <w:r/>
    </w:p>
    <w:p>
      <w:pPr>
        <w:numPr>
          <w:ilvl w:val="0"/>
          <w:numId w:val="44"/>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保障方案（10分）</w:t>
      </w:r>
      <w:r/>
    </w:p>
    <w:p>
      <w:pPr>
        <w:ind w:left="567"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val="en-US" w:eastAsia="zh-CN"/>
        </w:rPr>
        <w:t xml:space="preserve">响应单位</w:t>
      </w:r>
      <w:r>
        <w:rPr>
          <w:rFonts w:hint="eastAsia" w:ascii="宋体" w:hAnsi="宋体" w:eastAsia="宋体" w:cs="宋体"/>
          <w:color w:val="auto"/>
          <w:sz w:val="21"/>
          <w:szCs w:val="21"/>
          <w:highlight w:val="none"/>
        </w:rPr>
        <w:t xml:space="preserve">提供的</w:t>
      </w:r>
      <w:r>
        <w:rPr>
          <w:rFonts w:hint="eastAsia" w:ascii="宋体" w:hAnsi="宋体" w:eastAsia="宋体" w:cs="宋体"/>
          <w:color w:val="auto"/>
          <w:sz w:val="21"/>
          <w:szCs w:val="21"/>
          <w:highlight w:val="none"/>
          <w:lang w:val="en-US" w:eastAsia="zh-CN"/>
        </w:rPr>
        <w:t xml:space="preserve">运维耗材零件</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标准物质及计量器具</w:t>
      </w:r>
      <w:r>
        <w:rPr>
          <w:rFonts w:hint="eastAsia" w:ascii="宋体" w:hAnsi="宋体" w:eastAsia="宋体" w:cs="宋体"/>
          <w:color w:val="auto"/>
          <w:sz w:val="21"/>
          <w:szCs w:val="21"/>
          <w:highlight w:val="none"/>
        </w:rPr>
        <w:t xml:space="preserve">方案等进行打分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提供的清单完整、</w:t>
      </w:r>
      <w:r>
        <w:rPr>
          <w:rFonts w:hint="eastAsia" w:ascii="宋体" w:hAnsi="宋体" w:eastAsia="宋体" w:cs="宋体"/>
          <w:color w:val="auto"/>
          <w:sz w:val="21"/>
          <w:szCs w:val="21"/>
          <w:highlight w:val="none"/>
          <w:lang w:val="en-US" w:eastAsia="zh-CN"/>
        </w:rPr>
        <w:t xml:space="preserve">与本项目完全适用、匹配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应对能力有保障、措施到位的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分；提供的清单</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完整、</w:t>
      </w:r>
      <w:r>
        <w:rPr>
          <w:rFonts w:hint="eastAsia" w:ascii="宋体" w:hAnsi="宋体" w:eastAsia="宋体" w:cs="宋体"/>
          <w:color w:val="auto"/>
          <w:sz w:val="21"/>
          <w:szCs w:val="21"/>
          <w:highlight w:val="none"/>
          <w:lang w:val="en-US" w:eastAsia="zh-CN"/>
        </w:rPr>
        <w:t xml:space="preserve">与本项目</w:t>
      </w:r>
      <w:r>
        <w:rPr>
          <w:rFonts w:hint="eastAsia" w:ascii="宋体" w:hAnsi="宋体" w:eastAsia="宋体" w:cs="宋体"/>
          <w:color w:val="auto"/>
          <w:sz w:val="21"/>
          <w:szCs w:val="21"/>
          <w:highlight w:val="none"/>
        </w:rPr>
        <w:t xml:space="preserve">适应</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配套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应对能力有一定保障、措施基本到位的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提供的清单基本完整、能力基本有保障得4分；</w:t>
      </w:r>
      <w:r>
        <w:rPr>
          <w:rFonts w:hint="eastAsia" w:ascii="宋体" w:hAnsi="宋体" w:eastAsia="宋体" w:cs="宋体"/>
          <w:color w:val="auto"/>
          <w:sz w:val="21"/>
          <w:szCs w:val="21"/>
          <w:highlight w:val="none"/>
        </w:rPr>
        <w:t xml:space="preserve">提供的清单笼统、配套不</w:t>
      </w:r>
      <w:r>
        <w:rPr>
          <w:rFonts w:hint="eastAsia" w:ascii="宋体" w:hAnsi="宋体" w:eastAsia="宋体" w:cs="宋体"/>
          <w:color w:val="auto"/>
          <w:sz w:val="21"/>
          <w:szCs w:val="21"/>
          <w:highlight w:val="none"/>
          <w:lang w:val="en-US" w:eastAsia="zh-CN"/>
        </w:rPr>
        <w:t xml:space="preserve">太</w:t>
      </w:r>
      <w:r>
        <w:rPr>
          <w:rFonts w:hint="eastAsia" w:ascii="宋体" w:hAnsi="宋体" w:eastAsia="宋体" w:cs="宋体"/>
          <w:color w:val="auto"/>
          <w:sz w:val="21"/>
          <w:szCs w:val="21"/>
          <w:highlight w:val="none"/>
        </w:rPr>
        <w:t xml:space="preserve">完善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应对能力较欠缺</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未提供相关保障方案的</w:t>
      </w:r>
      <w:r>
        <w:rPr>
          <w:rFonts w:hint="eastAsia" w:ascii="宋体" w:hAnsi="宋体" w:eastAsia="宋体" w:cs="宋体"/>
          <w:color w:val="auto"/>
          <w:sz w:val="21"/>
          <w:szCs w:val="21"/>
          <w:highlight w:val="none"/>
        </w:rPr>
        <w:t xml:space="preserve">不得分。</w:t>
      </w:r>
      <w:r/>
    </w:p>
    <w:p>
      <w:pPr>
        <w:numPr>
          <w:ilvl w:val="0"/>
          <w:numId w:val="44"/>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数据</w:t>
      </w:r>
      <w:r>
        <w:rPr>
          <w:rFonts w:hint="eastAsia" w:ascii="宋体" w:hAnsi="宋体" w:eastAsia="宋体" w:cs="宋体"/>
          <w:color w:val="auto"/>
          <w:sz w:val="21"/>
          <w:szCs w:val="21"/>
          <w:highlight w:val="none"/>
          <w:lang w:val="en-US" w:eastAsia="zh-CN"/>
        </w:rPr>
        <w:t xml:space="preserve">审核及</w:t>
      </w:r>
      <w:r>
        <w:rPr>
          <w:rFonts w:hint="eastAsia" w:ascii="宋体" w:hAnsi="宋体" w:eastAsia="宋体" w:cs="宋体"/>
          <w:color w:val="auto"/>
          <w:sz w:val="21"/>
          <w:szCs w:val="21"/>
          <w:highlight w:val="none"/>
        </w:rPr>
        <w:t xml:space="preserve">分析方案（</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ind w:left="567"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根据响应单位提供的数据审核及分析方案专业性、丰富性和完整性进行综合评价，方案完整，优于或完全满足采购需求的得10分；方案较完整、内容较详实、符合采购需求的得7分；方案基本完整，内容详实，基本满足采购需求的得4分；方案笼统，内容空泛的得1分；无数据分析方案内容的不得分。</w:t>
      </w:r>
      <w:r/>
    </w:p>
    <w:p>
      <w:pPr>
        <w:numPr>
          <w:ilvl w:val="0"/>
          <w:numId w:val="42"/>
        </w:numPr>
        <w:keepLines w:val="0"/>
        <w:keepNext w:val="0"/>
        <w:pageBreakBefore w:val="0"/>
        <w:spacing w:line="400" w:lineRule="exact"/>
        <w:tabs>
          <w:tab w:val="left" w:pos="420" w:leader="none"/>
        </w:tabs>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lang w:val="en-US" w:eastAsia="zh-CN"/>
        </w:rPr>
        <w:t xml:space="preserve">针对本项目的人员配备情况（16分）</w:t>
      </w:r>
      <w:r/>
    </w:p>
    <w:p>
      <w:pPr>
        <w:numPr>
          <w:ilvl w:val="0"/>
          <w:numId w:val="45"/>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shd w:val="clear" w:color="auto" w:fill="auto"/>
          <w:lang w:val="en-US" w:eastAsia="zh-CN"/>
        </w:rPr>
        <w:outlineLvl w:val="9"/>
      </w:pPr>
      <w:r>
        <w:rPr>
          <w:rFonts w:hint="eastAsia" w:ascii="宋体" w:hAnsi="宋体" w:eastAsia="宋体" w:cs="宋体"/>
          <w:color w:val="auto"/>
          <w:sz w:val="21"/>
          <w:szCs w:val="21"/>
          <w:highlight w:val="none"/>
          <w:shd w:val="clear" w:color="auto" w:fill="auto"/>
          <w:lang w:val="en-US" w:eastAsia="zh-CN"/>
        </w:rPr>
        <w:t xml:space="preserve">项目经理</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lang w:val="en-US" w:eastAsia="zh-CN"/>
        </w:rPr>
        <w:t xml:space="preserve">4分</w:t>
      </w:r>
      <w:r>
        <w:rPr>
          <w:rFonts w:hint="eastAsia" w:ascii="宋体" w:hAnsi="宋体" w:eastAsia="宋体" w:cs="宋体"/>
          <w:color w:val="auto"/>
          <w:sz w:val="21"/>
          <w:szCs w:val="21"/>
          <w:highlight w:val="none"/>
          <w:shd w:val="clear" w:color="auto" w:fill="auto"/>
          <w:lang w:eastAsia="zh-CN"/>
        </w:rPr>
        <w:t xml:space="preserve">）</w:t>
      </w:r>
      <w:r/>
    </w:p>
    <w:p>
      <w:pPr>
        <w:ind w:left="567"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具备中国</w:t>
      </w:r>
      <w:r>
        <w:rPr>
          <w:rFonts w:hint="eastAsia" w:ascii="宋体" w:hAnsi="宋体" w:eastAsia="宋体" w:cs="宋体"/>
          <w:color w:val="auto"/>
          <w:sz w:val="21"/>
          <w:szCs w:val="21"/>
          <w:highlight w:val="none"/>
          <w:lang w:val="zh-CN"/>
        </w:rPr>
        <w:t xml:space="preserve">环境监测总站颁发</w:t>
      </w:r>
      <w:r>
        <w:rPr>
          <w:rFonts w:hint="eastAsia" w:ascii="宋体" w:hAnsi="宋体" w:eastAsia="宋体" w:cs="宋体"/>
          <w:color w:val="auto"/>
          <w:sz w:val="21"/>
          <w:szCs w:val="21"/>
          <w:highlight w:val="none"/>
        </w:rPr>
        <w:t xml:space="preserve">的环境空气挥发性有机物自动监测培训合格证书</w:t>
      </w:r>
      <w:r>
        <w:rPr>
          <w:rFonts w:hint="eastAsia" w:ascii="宋体" w:hAnsi="宋体" w:eastAsia="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rPr>
        <w:t xml:space="preserve">承诺合同履约期内专职投入本项目</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具备本项目主要仪器（在线VOCs监测仪）运维管理经验的得2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。响应文件中提供</w:t>
      </w:r>
      <w:r>
        <w:rPr>
          <w:rFonts w:hint="eastAsia" w:ascii="宋体" w:hAnsi="宋体" w:eastAsia="宋体" w:cs="宋体"/>
          <w:color w:val="auto"/>
          <w:sz w:val="21"/>
          <w:szCs w:val="21"/>
          <w:highlight w:val="none"/>
          <w:lang w:val="en-US" w:eastAsia="zh-CN"/>
        </w:rPr>
        <w:t xml:space="preserve">相应</w:t>
      </w:r>
      <w:r>
        <w:rPr>
          <w:rFonts w:hint="eastAsia" w:ascii="宋体" w:hAnsi="宋体" w:eastAsia="宋体" w:cs="宋体"/>
          <w:color w:val="auto"/>
          <w:sz w:val="21"/>
          <w:szCs w:val="21"/>
          <w:highlight w:val="none"/>
        </w:rPr>
        <w:t xml:space="preserve">证书、承</w:t>
      </w:r>
      <w:r>
        <w:rPr>
          <w:rFonts w:hint="eastAsia" w:ascii="宋体" w:hAnsi="宋体" w:eastAsia="宋体" w:cs="宋体"/>
          <w:color w:val="auto"/>
          <w:sz w:val="21"/>
          <w:szCs w:val="21"/>
          <w:highlight w:val="none"/>
        </w:rPr>
        <w:t xml:space="preserve">诺书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运维管理经验证明</w:t>
      </w:r>
      <w:r>
        <w:rPr>
          <w:rFonts w:hint="eastAsia" w:ascii="宋体" w:hAnsi="宋体" w:eastAsia="宋体" w:cs="宋体"/>
          <w:color w:val="auto"/>
          <w:sz w:val="21"/>
          <w:szCs w:val="21"/>
          <w:highlight w:val="none"/>
        </w:rPr>
        <w:t xml:space="preserve">及响应单位为人员缴纳的202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rPr>
        <w:t xml:space="preserve">以来任意一期社保证明资料，否则不得分。</w:t>
      </w:r>
      <w:r/>
    </w:p>
    <w:p>
      <w:pPr>
        <w:numPr>
          <w:ilvl w:val="0"/>
          <w:numId w:val="45"/>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shd w:val="clear" w:color="auto" w:fill="auto"/>
          <w:lang w:val="en-US" w:eastAsia="zh-CN"/>
        </w:rPr>
        <w:outlineLvl w:val="9"/>
      </w:pPr>
      <w:r>
        <w:rPr>
          <w:rFonts w:hint="eastAsia" w:ascii="宋体" w:hAnsi="宋体" w:eastAsia="宋体" w:cs="宋体"/>
          <w:color w:val="auto"/>
          <w:sz w:val="21"/>
          <w:szCs w:val="21"/>
          <w:highlight w:val="none"/>
          <w:shd w:val="clear" w:color="auto" w:fill="auto"/>
        </w:rPr>
        <w:t xml:space="preserve">运维</w:t>
      </w:r>
      <w:r>
        <w:rPr>
          <w:rFonts w:hint="eastAsia" w:ascii="宋体" w:hAnsi="宋体" w:eastAsia="宋体" w:cs="宋体"/>
          <w:color w:val="auto"/>
          <w:sz w:val="21"/>
          <w:szCs w:val="21"/>
          <w:highlight w:val="none"/>
          <w:shd w:val="clear" w:color="auto" w:fill="auto"/>
          <w:lang w:val="en-US" w:eastAsia="zh-CN"/>
        </w:rPr>
        <w:t xml:space="preserve">技术</w:t>
      </w:r>
      <w:r>
        <w:rPr>
          <w:rFonts w:hint="eastAsia" w:ascii="宋体" w:hAnsi="宋体" w:eastAsia="宋体" w:cs="宋体"/>
          <w:color w:val="auto"/>
          <w:sz w:val="21"/>
          <w:szCs w:val="21"/>
          <w:highlight w:val="none"/>
          <w:shd w:val="clear" w:color="auto" w:fill="auto"/>
        </w:rPr>
        <w:t xml:space="preserve">人员</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lang w:val="en-US" w:eastAsia="zh-CN"/>
        </w:rPr>
        <w:t xml:space="preserve">9分</w:t>
      </w:r>
      <w:r>
        <w:rPr>
          <w:rFonts w:hint="eastAsia" w:ascii="宋体" w:hAnsi="宋体" w:eastAsia="宋体" w:cs="宋体"/>
          <w:color w:val="auto"/>
          <w:sz w:val="21"/>
          <w:szCs w:val="21"/>
          <w:highlight w:val="none"/>
          <w:shd w:val="clear" w:color="auto" w:fill="auto"/>
          <w:lang w:eastAsia="zh-CN"/>
        </w:rPr>
        <w:t xml:space="preserve">）</w:t>
      </w:r>
      <w:r/>
    </w:p>
    <w:p>
      <w:pPr>
        <w:ind w:left="567"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具备中国</w:t>
      </w:r>
      <w:r>
        <w:rPr>
          <w:rFonts w:hint="eastAsia" w:ascii="宋体" w:hAnsi="宋体" w:eastAsia="宋体" w:cs="宋体"/>
          <w:color w:val="auto"/>
          <w:sz w:val="21"/>
          <w:szCs w:val="21"/>
          <w:highlight w:val="none"/>
          <w:lang w:val="zh-CN"/>
        </w:rPr>
        <w:t xml:space="preserve">环境监测总站颁发</w:t>
      </w:r>
      <w:r>
        <w:rPr>
          <w:rFonts w:hint="eastAsia" w:ascii="宋体" w:hAnsi="宋体" w:eastAsia="宋体" w:cs="宋体"/>
          <w:color w:val="auto"/>
          <w:sz w:val="21"/>
          <w:szCs w:val="21"/>
          <w:highlight w:val="none"/>
        </w:rPr>
        <w:t xml:space="preserve">的环境空气挥发性有机物自动监测培训合格证书，每</w:t>
      </w:r>
      <w:r>
        <w:rPr>
          <w:rFonts w:hint="eastAsia" w:ascii="宋体" w:hAnsi="宋体" w:eastAsia="宋体" w:cs="宋体"/>
          <w:color w:val="auto"/>
          <w:sz w:val="21"/>
          <w:szCs w:val="21"/>
          <w:highlight w:val="none"/>
          <w:lang w:val="en-US" w:eastAsia="zh-CN"/>
        </w:rPr>
        <w:t xml:space="preserve">个</w:t>
      </w:r>
      <w:r>
        <w:rPr>
          <w:rFonts w:hint="eastAsia" w:ascii="宋体" w:hAnsi="宋体" w:eastAsia="宋体" w:cs="宋体"/>
          <w:color w:val="auto"/>
          <w:sz w:val="21"/>
          <w:szCs w:val="21"/>
          <w:highlight w:val="none"/>
        </w:rPr>
        <w:t xml:space="preserve">得1分，最高得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具备本项目主要仪器（在线VOCs监测仪）运维经验的，每</w:t>
      </w:r>
      <w:r>
        <w:rPr>
          <w:rFonts w:hint="eastAsia" w:ascii="宋体" w:hAnsi="宋体" w:eastAsia="宋体" w:cs="宋体"/>
          <w:color w:val="auto"/>
          <w:sz w:val="21"/>
          <w:szCs w:val="21"/>
          <w:highlight w:val="none"/>
          <w:lang w:val="en-US" w:eastAsia="zh-CN"/>
        </w:rPr>
        <w:t xml:space="preserve">个</w:t>
      </w:r>
      <w:r>
        <w:rPr>
          <w:rFonts w:hint="eastAsia" w:ascii="宋体" w:hAnsi="宋体" w:eastAsia="宋体" w:cs="宋体"/>
          <w:color w:val="auto"/>
          <w:sz w:val="21"/>
          <w:szCs w:val="21"/>
          <w:highlight w:val="none"/>
        </w:rPr>
        <w:t xml:space="preserve">得2分，最高得6分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响应文件中提供</w:t>
      </w:r>
      <w:r>
        <w:rPr>
          <w:rFonts w:hint="eastAsia" w:ascii="宋体" w:hAnsi="宋体" w:eastAsia="宋体" w:cs="宋体"/>
          <w:color w:val="auto"/>
          <w:sz w:val="21"/>
          <w:szCs w:val="21"/>
          <w:highlight w:val="none"/>
          <w:lang w:val="en-US" w:eastAsia="zh-CN"/>
        </w:rPr>
        <w:t xml:space="preserve">相应证书、</w:t>
      </w:r>
      <w:r>
        <w:rPr>
          <w:rFonts w:hint="eastAsia" w:ascii="宋体" w:hAnsi="宋体" w:eastAsia="宋体" w:cs="宋体"/>
          <w:color w:val="auto"/>
          <w:sz w:val="21"/>
          <w:szCs w:val="21"/>
          <w:highlight w:val="none"/>
        </w:rPr>
        <w:t xml:space="preserve">运维经验证明及响应单位为人员缴纳的202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rPr>
        <w:t xml:space="preserve">以来任意一期社保证明资料，否则不得分。</w:t>
      </w:r>
      <w:r/>
    </w:p>
    <w:p>
      <w:pPr>
        <w:numPr>
          <w:ilvl w:val="0"/>
          <w:numId w:val="45"/>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shd w:val="clear" w:color="auto" w:fill="auto"/>
          <w:lang w:eastAsia="zh-CN"/>
        </w:rPr>
        <w:outlineLvl w:val="9"/>
      </w:pPr>
      <w:r>
        <w:rPr>
          <w:rFonts w:hint="eastAsia" w:ascii="宋体" w:hAnsi="宋体" w:eastAsia="宋体" w:cs="宋体"/>
          <w:color w:val="auto"/>
          <w:sz w:val="21"/>
          <w:szCs w:val="21"/>
          <w:highlight w:val="none"/>
          <w:shd w:val="clear" w:color="auto" w:fill="auto"/>
        </w:rPr>
        <w:t xml:space="preserve">分析检查人员</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lang w:val="en-US" w:eastAsia="zh-CN"/>
        </w:rPr>
        <w:t xml:space="preserve">3分</w:t>
      </w:r>
      <w:r>
        <w:rPr>
          <w:rFonts w:hint="eastAsia" w:ascii="宋体" w:hAnsi="宋体" w:eastAsia="宋体" w:cs="宋体"/>
          <w:color w:val="auto"/>
          <w:sz w:val="21"/>
          <w:szCs w:val="21"/>
          <w:highlight w:val="none"/>
          <w:shd w:val="clear" w:color="auto" w:fill="auto"/>
          <w:lang w:eastAsia="zh-CN"/>
        </w:rPr>
        <w:t xml:space="preserve">）</w:t>
      </w:r>
      <w:r/>
    </w:p>
    <w:p>
      <w:pPr>
        <w:ind w:left="567"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具备中国</w:t>
      </w:r>
      <w:r>
        <w:rPr>
          <w:rFonts w:hint="eastAsia" w:ascii="宋体" w:hAnsi="宋体" w:eastAsia="宋体" w:cs="宋体"/>
          <w:color w:val="auto"/>
          <w:sz w:val="21"/>
          <w:szCs w:val="21"/>
          <w:highlight w:val="none"/>
          <w:lang w:val="zh-CN"/>
        </w:rPr>
        <w:t xml:space="preserve">环境监测总站颁发</w:t>
      </w:r>
      <w:r>
        <w:rPr>
          <w:rFonts w:hint="eastAsia" w:ascii="宋体" w:hAnsi="宋体" w:eastAsia="宋体" w:cs="宋体"/>
          <w:color w:val="auto"/>
          <w:sz w:val="21"/>
          <w:szCs w:val="21"/>
          <w:highlight w:val="none"/>
        </w:rPr>
        <w:t xml:space="preserve">的环境空气挥发性有机物自动监测培训合格证书</w:t>
      </w:r>
      <w:r>
        <w:rPr>
          <w:rFonts w:hint="eastAsia" w:ascii="宋体" w:hAnsi="宋体" w:eastAsia="宋体" w:cs="宋体"/>
          <w:color w:val="auto"/>
          <w:sz w:val="21"/>
          <w:szCs w:val="21"/>
          <w:highlight w:val="none"/>
          <w:lang w:val="en-US" w:eastAsia="zh-CN"/>
        </w:rPr>
        <w:t xml:space="preserve">得1分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具备本项目主要仪器（在线VOCs监测仪）分析检查经验的得2分。响应文件中提供</w:t>
      </w:r>
      <w:r>
        <w:rPr>
          <w:rFonts w:hint="eastAsia" w:ascii="宋体" w:hAnsi="宋体" w:eastAsia="宋体" w:cs="宋体"/>
          <w:color w:val="auto"/>
          <w:sz w:val="21"/>
          <w:szCs w:val="21"/>
          <w:highlight w:val="none"/>
          <w:lang w:val="en-US" w:eastAsia="zh-CN"/>
        </w:rPr>
        <w:t xml:space="preserve">相应证书、</w:t>
      </w:r>
      <w:r>
        <w:rPr>
          <w:rFonts w:hint="eastAsia" w:ascii="宋体" w:hAnsi="宋体" w:eastAsia="宋体" w:cs="宋体"/>
          <w:color w:val="auto"/>
          <w:sz w:val="21"/>
          <w:szCs w:val="21"/>
          <w:highlight w:val="none"/>
        </w:rPr>
        <w:t xml:space="preserve">分析检查经验证明及响应单位为人员缴纳的202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rPr>
        <w:t xml:space="preserve">以来</w:t>
      </w:r>
      <w:r>
        <w:rPr>
          <w:rFonts w:hint="eastAsia" w:ascii="宋体" w:hAnsi="宋体" w:eastAsia="宋体" w:cs="宋体"/>
          <w:color w:val="auto"/>
          <w:sz w:val="21"/>
          <w:szCs w:val="21"/>
          <w:highlight w:val="none"/>
        </w:rPr>
        <w:t xml:space="preserve">任意一期社保证明资料，否则不得分。</w:t>
      </w:r>
      <w:r/>
    </w:p>
    <w:p>
      <w:pPr>
        <w:numPr>
          <w:ilvl w:val="0"/>
          <w:numId w:val="42"/>
        </w:numPr>
        <w:keepLines w:val="0"/>
        <w:keepNext w:val="0"/>
        <w:pageBreakBefore w:val="0"/>
        <w:spacing w:line="400" w:lineRule="exact"/>
        <w:tabs>
          <w:tab w:val="left" w:pos="420" w:leader="none"/>
        </w:tabs>
        <w:rPr>
          <w:rFonts w:hint="eastAsia" w:ascii="宋体" w:hAnsi="宋体" w:eastAsia="宋体" w:cs="宋体"/>
          <w:b/>
          <w:color w:val="auto"/>
          <w:sz w:val="21"/>
          <w:szCs w:val="21"/>
          <w:highlight w:val="none"/>
          <w:lang w:val="en-US" w:eastAsia="zh-CN"/>
        </w:rPr>
        <w:outlineLvl w:val="0"/>
      </w:pPr>
      <w:r>
        <w:rPr>
          <w:rFonts w:hint="eastAsia" w:ascii="宋体" w:hAnsi="宋体" w:eastAsia="宋体" w:cs="宋体"/>
          <w:b/>
          <w:color w:val="auto"/>
          <w:sz w:val="21"/>
          <w:szCs w:val="21"/>
          <w:highlight w:val="none"/>
          <w:lang w:val="en-US" w:eastAsia="zh-CN"/>
        </w:rPr>
        <w:t xml:space="preserve">响应单位综合能力（14分）</w:t>
      </w:r>
      <w:r/>
    </w:p>
    <w:p>
      <w:pPr>
        <w:numPr>
          <w:ilvl w:val="0"/>
          <w:numId w:val="46"/>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shd w:val="clear" w:color="auto" w:fill="auto"/>
        </w:rPr>
        <w:outlineLvl w:val="9"/>
      </w:pPr>
      <w:r>
        <w:rPr>
          <w:rFonts w:hint="eastAsia" w:ascii="宋体" w:hAnsi="宋体" w:eastAsia="宋体" w:cs="宋体"/>
          <w:color w:val="auto"/>
          <w:sz w:val="21"/>
          <w:szCs w:val="21"/>
          <w:highlight w:val="none"/>
          <w:shd w:val="clear" w:color="auto" w:fill="auto"/>
        </w:rPr>
        <w:t xml:space="preserve">管理体系认证证书（8分）</w:t>
      </w:r>
      <w:r/>
    </w:p>
    <w:p>
      <w:pPr>
        <w:ind w:left="567"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响应单位具有有效的环境管理体系认证证书、质量管理体系认证证书、职业健康安全管理体系认证证书、信息安全管理体系认证证书</w:t>
      </w:r>
      <w:r>
        <w:rPr>
          <w:rFonts w:hint="eastAsia" w:ascii="宋体" w:hAnsi="宋体" w:eastAsia="宋体" w:cs="宋体"/>
          <w:color w:val="auto"/>
          <w:sz w:val="21"/>
          <w:szCs w:val="21"/>
          <w:highlight w:val="none"/>
          <w:lang w:eastAsia="zh-CN"/>
        </w:rPr>
        <w:t xml:space="preserve">（以上所有证书认证范围需适用于：环境保护监测相关技术服务）</w:t>
      </w:r>
      <w:r>
        <w:rPr>
          <w:rFonts w:hint="eastAsia" w:ascii="宋体" w:hAnsi="宋体" w:eastAsia="宋体" w:cs="宋体"/>
          <w:color w:val="auto"/>
          <w:sz w:val="21"/>
          <w:szCs w:val="21"/>
          <w:highlight w:val="none"/>
        </w:rPr>
        <w:t xml:space="preserve">，每个证书得2分，最高得8分。响应文件中提供证书复印件及证书在全国认证认可信息公共服务平台上查询到的有效状态的清晰页面截图，否则不得分。</w:t>
      </w:r>
      <w:r/>
    </w:p>
    <w:p>
      <w:pPr>
        <w:numPr>
          <w:ilvl w:val="0"/>
          <w:numId w:val="46"/>
        </w:numPr>
        <w:ind w:left="567" w:hanging="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shd w:val="clear" w:color="auto" w:fill="auto"/>
        </w:rPr>
        <w:outlineLvl w:val="9"/>
      </w:pPr>
      <w:r>
        <w:rPr>
          <w:rFonts w:hint="eastAsia" w:ascii="宋体" w:hAnsi="宋体" w:eastAsia="宋体" w:cs="宋体"/>
          <w:color w:val="auto"/>
          <w:sz w:val="21"/>
          <w:szCs w:val="21"/>
          <w:highlight w:val="none"/>
          <w:shd w:val="clear" w:color="auto" w:fill="auto"/>
        </w:rPr>
        <w:t xml:space="preserve">类似业绩（</w:t>
      </w:r>
      <w:r>
        <w:rPr>
          <w:rFonts w:hint="eastAsia" w:ascii="宋体" w:hAnsi="宋体" w:eastAsia="宋体" w:cs="宋体"/>
          <w:color w:val="auto"/>
          <w:sz w:val="21"/>
          <w:szCs w:val="21"/>
          <w:highlight w:val="none"/>
          <w:shd w:val="clear" w:color="auto" w:fill="auto"/>
          <w:lang w:val="en-US" w:eastAsia="zh-CN"/>
        </w:rPr>
        <w:t xml:space="preserve">6</w:t>
      </w:r>
      <w:r>
        <w:rPr>
          <w:rFonts w:hint="eastAsia" w:ascii="宋体" w:hAnsi="宋体" w:eastAsia="宋体" w:cs="宋体"/>
          <w:color w:val="auto"/>
          <w:sz w:val="21"/>
          <w:szCs w:val="21"/>
          <w:highlight w:val="none"/>
          <w:shd w:val="clear" w:color="auto" w:fill="auto"/>
        </w:rPr>
        <w:t xml:space="preserve">分）</w:t>
      </w:r>
      <w:r/>
    </w:p>
    <w:p>
      <w:pPr>
        <w:ind w:left="567" w:firstLine="0"/>
        <w:keepLines w:val="0"/>
        <w:keepNext w:val="0"/>
        <w:pageBreakBefore w:val="0"/>
        <w:spacing w:line="40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响应单</w:t>
      </w:r>
      <w:r>
        <w:rPr>
          <w:rFonts w:hint="eastAsia" w:ascii="宋体" w:hAnsi="宋体" w:eastAsia="宋体" w:cs="宋体"/>
          <w:color w:val="auto"/>
          <w:sz w:val="21"/>
          <w:szCs w:val="21"/>
          <w:highlight w:val="none"/>
        </w:rPr>
        <w:t xml:space="preserve">位自202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年1月1日（以</w:t>
      </w:r>
      <w:r>
        <w:rPr>
          <w:rFonts w:hint="eastAsia" w:ascii="宋体" w:hAnsi="宋体" w:eastAsia="宋体" w:cs="宋体"/>
          <w:color w:val="auto"/>
          <w:sz w:val="21"/>
          <w:szCs w:val="21"/>
          <w:highlight w:val="none"/>
        </w:rPr>
        <w:t xml:space="preserve">合同签订日期为准）以来具有类似运维项目业绩，每提供一个得1分，最高得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分。响应文件中提供项目合同复印件及对应业绩的发票复印件（服务期内任意一张发票），否则不得分。</w:t>
      </w:r>
      <w:bookmarkEnd w:id="14"/>
      <w:r/>
      <w:r/>
    </w:p>
    <w:p>
      <w:pPr>
        <w:numPr>
          <w:ilvl w:val="0"/>
          <w:numId w:val="0"/>
        </w:numPr>
        <w:spacing w:line="400" w:lineRule="exact"/>
        <w:tabs>
          <w:tab w:val="left" w:pos="567"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bookmarkEnd w:id="13"/>
      <w:r/>
      <w:bookmarkEnd w:id="15"/>
      <w:r/>
      <w:r/>
    </w:p>
    <w:p>
      <w:pPr>
        <w:spacing w:line="400" w:lineRule="exact"/>
        <w:rPr>
          <w:rFonts w:hint="eastAsia" w:ascii="宋体" w:hAnsi="宋体" w:cs="宋体"/>
          <w:color w:val="auto"/>
          <w:highlight w:val="none"/>
          <w:shd w:val="clear" w:color="auto" w:fill="auto"/>
        </w:rPr>
      </w:pPr>
      <w:r>
        <w:rPr>
          <w:rFonts w:hint="eastAsia" w:ascii="宋体" w:hAnsi="宋体" w:cs="宋体"/>
          <w:color w:val="auto"/>
          <w:highlight w:val="none"/>
          <w:shd w:val="clear" w:color="auto" w:fill="auto"/>
        </w:rPr>
        <w:t xml:space="preserve">注：针对评分标准中评分的每一条，磋商响应单位均应提供相关资料并作出相应说明供评委评判，不提供相关资料的视为不具备该项得分的条件。</w:t>
      </w:r>
      <w:r/>
    </w:p>
    <w:p>
      <w:pPr>
        <w:jc w:val="center"/>
        <w:spacing w:line="440" w:lineRule="exact"/>
        <w:rPr>
          <w:rFonts w:hint="eastAsia" w:ascii="宋体" w:hAnsi="宋体"/>
          <w:b/>
          <w:bCs/>
          <w:color w:val="auto"/>
          <w:sz w:val="32"/>
          <w:szCs w:val="32"/>
          <w:highlight w:val="none"/>
          <w:shd w:val="clear" w:color="auto" w:fill="auto"/>
        </w:rPr>
      </w:pPr>
      <w:r>
        <w:rPr>
          <w:rFonts w:ascii="宋体" w:hAnsi="宋体"/>
          <w:b/>
          <w:bCs/>
          <w:color w:val="auto"/>
          <w:sz w:val="32"/>
          <w:szCs w:val="32"/>
          <w:highlight w:val="none"/>
          <w:shd w:val="clear" w:color="auto" w:fill="auto"/>
        </w:rPr>
        <w:br w:type="page" w:clear="all"/>
      </w:r>
      <w:r>
        <w:rPr>
          <w:rFonts w:hint="eastAsia" w:ascii="宋体" w:hAnsi="宋体"/>
          <w:b/>
          <w:bCs/>
          <w:color w:val="auto"/>
          <w:sz w:val="32"/>
          <w:szCs w:val="32"/>
          <w:highlight w:val="none"/>
          <w:shd w:val="clear" w:color="auto" w:fill="auto"/>
        </w:rPr>
        <w:t xml:space="preserve">四、合同主要条款</w:t>
      </w:r>
      <w:r/>
    </w:p>
    <w:p>
      <w:pPr>
        <w:jc w:val="center"/>
        <w:spacing w:line="40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ind w:firstLine="426"/>
        <w:spacing w:line="400" w:lineRule="exact"/>
        <w:rPr>
          <w:rFonts w:hint="eastAsia" w:ascii="宋体" w:hAnsi="宋体" w:cs="宋体"/>
          <w:color w:val="auto"/>
          <w:highlight w:val="none"/>
          <w:shd w:val="clear" w:color="auto" w:fill="auto"/>
        </w:rPr>
      </w:pPr>
      <w:r/>
      <w:bookmarkStart w:id="16" w:name="_Hlk165988889"/>
      <w:r>
        <w:rPr>
          <w:rFonts w:hint="eastAsia" w:ascii="宋体" w:hAnsi="宋体" w:cs="宋体"/>
          <w:color w:val="auto"/>
          <w:highlight w:val="none"/>
          <w:shd w:val="clear" w:color="auto" w:fill="auto"/>
        </w:rPr>
        <w:t xml:space="preserve">依据甲方委托</w:t>
      </w:r>
      <w:r>
        <w:rPr>
          <w:rFonts w:hint="eastAsia" w:ascii="宋体" w:hAnsi="宋体" w:cs="宋体"/>
          <w:color w:val="auto"/>
          <w:highlight w:val="none"/>
          <w:u w:val="single"/>
          <w:shd w:val="clear" w:color="auto" w:fill="auto"/>
        </w:rPr>
        <w:t xml:space="preserve">苏州市原鑫招投标咨询服务有限公司</w:t>
      </w:r>
      <w:r>
        <w:rPr>
          <w:rFonts w:hint="eastAsia" w:ascii="宋体" w:hAnsi="宋体" w:cs="宋体"/>
          <w:color w:val="auto"/>
          <w:highlight w:val="none"/>
          <w:shd w:val="clear" w:color="auto" w:fill="auto"/>
        </w:rPr>
        <w:t xml:space="preserve">进行</w:t>
      </w:r>
      <w:r>
        <w:rPr>
          <w:rFonts w:hint="eastAsia" w:ascii="宋体" w:hAnsi="宋体" w:cs="宋体"/>
          <w:color w:val="auto"/>
          <w:szCs w:val="21"/>
          <w:highlight w:val="none"/>
          <w:u w:val="single"/>
          <w:shd w:val="clear" w:color="auto" w:fill="auto"/>
          <w:lang w:eastAsia="zh-CN"/>
        </w:rPr>
        <w:t xml:space="preserve">2026-2027年3台VOCs设备运维</w:t>
      </w:r>
      <w:r>
        <w:rPr>
          <w:rFonts w:hint="eastAsia" w:ascii="宋体" w:hAnsi="宋体" w:cs="宋体"/>
          <w:color w:val="auto"/>
          <w:highlight w:val="none"/>
          <w:shd w:val="clear" w:color="auto" w:fill="auto"/>
        </w:rPr>
        <w:t xml:space="preserve">（采购编号：</w:t>
      </w:r>
      <w:r>
        <w:rPr>
          <w:rFonts w:hint="eastAsia" w:ascii="宋体" w:hAnsi="宋体" w:cs="宋体"/>
          <w:color w:val="auto"/>
          <w:szCs w:val="21"/>
          <w:highlight w:val="none"/>
          <w:u w:val="single"/>
          <w:shd w:val="clear" w:color="auto" w:fill="auto"/>
          <w:lang w:eastAsia="zh-CN"/>
        </w:rPr>
        <w:t xml:space="preserve">JSZC-320500-SZYX-C2025-0083</w:t>
      </w:r>
      <w:r>
        <w:rPr>
          <w:rFonts w:hint="eastAsia" w:ascii="宋体" w:hAnsi="宋体" w:cs="宋体"/>
          <w:color w:val="auto"/>
          <w:highlight w:val="none"/>
          <w:shd w:val="clear" w:color="auto" w:fill="auto"/>
        </w:rPr>
        <w:t xml:space="preserve">）政府采购的成交结果，</w:t>
      </w:r>
      <w:r>
        <w:rPr>
          <w:rFonts w:hint="eastAsia" w:ascii="宋体" w:hAnsi="宋体" w:cs="宋体"/>
          <w:color w:val="auto"/>
          <w:szCs w:val="21"/>
          <w:highlight w:val="none"/>
          <w:shd w:val="clear" w:color="auto" w:fill="auto"/>
        </w:rPr>
        <w:t xml:space="preserve">确定乙方为本次成交供应商，现依照磋商文件、乙方的响应文件及相关文件的内容，签订本合同书</w:t>
      </w:r>
      <w:r>
        <w:rPr>
          <w:rFonts w:hint="eastAsia" w:ascii="宋体" w:hAnsi="宋体" w:cs="宋体"/>
          <w:color w:val="auto"/>
          <w:highlight w:val="none"/>
          <w:shd w:val="clear" w:color="auto" w:fill="auto"/>
        </w:rPr>
        <w:t xml:space="preserve">。</w:t>
      </w:r>
      <w:r/>
    </w:p>
    <w:p>
      <w:pPr>
        <w:numPr>
          <w:ilvl w:val="0"/>
          <w:numId w:val="47"/>
        </w:numPr>
        <w:spacing w:line="400" w:lineRule="exact"/>
        <w:rPr>
          <w:rFonts w:hint="eastAsia" w:ascii="宋体" w:hAnsi="宋体" w:cs="仿宋_GB2312"/>
          <w:b/>
          <w:color w:val="auto"/>
          <w:szCs w:val="21"/>
          <w:highlight w:val="none"/>
          <w:shd w:val="clear" w:color="auto" w:fill="auto"/>
        </w:rPr>
      </w:pPr>
      <w:r>
        <w:rPr>
          <w:rFonts w:hint="eastAsia" w:ascii="宋体" w:hAnsi="宋体" w:cs="仿宋_GB2312"/>
          <w:b/>
          <w:color w:val="auto"/>
          <w:szCs w:val="21"/>
          <w:highlight w:val="none"/>
          <w:shd w:val="clear" w:color="auto" w:fill="auto"/>
        </w:rPr>
        <w:t xml:space="preserve">合同价格</w:t>
      </w:r>
      <w:r/>
    </w:p>
    <w:p>
      <w:pPr>
        <w:numPr>
          <w:ilvl w:val="1"/>
          <w:numId w:val="48"/>
        </w:numPr>
        <w:spacing w:line="400" w:lineRule="exact"/>
        <w:tabs>
          <w:tab w:val="left" w:pos="540" w:leader="none"/>
        </w:tabs>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合同价格（大写）人民币</w:t>
      </w:r>
      <w:r>
        <w:rPr>
          <w:rFonts w:hint="eastAsia" w:ascii="宋体" w:hAnsi="宋体" w:cs="仿宋_GB2312"/>
          <w:color w:val="auto"/>
          <w:szCs w:val="21"/>
          <w:highlight w:val="none"/>
          <w:u w:val="single"/>
          <w:shd w:val="clear" w:color="auto" w:fill="auto"/>
        </w:rPr>
        <w:t xml:space="preserve">             </w:t>
      </w:r>
      <w:r>
        <w:rPr>
          <w:rFonts w:hint="eastAsia" w:ascii="宋体" w:hAnsi="宋体" w:cs="仿宋_GB2312"/>
          <w:color w:val="auto"/>
          <w:szCs w:val="21"/>
          <w:highlight w:val="none"/>
          <w:shd w:val="clear" w:color="auto" w:fill="auto"/>
        </w:rPr>
        <w:t xml:space="preserve">元（￥</w:t>
      </w:r>
      <w:r>
        <w:rPr>
          <w:rFonts w:hint="eastAsia" w:ascii="宋体" w:hAnsi="宋体" w:cs="仿宋_GB2312"/>
          <w:color w:val="auto"/>
          <w:szCs w:val="21"/>
          <w:highlight w:val="none"/>
          <w:u w:val="single"/>
          <w:shd w:val="clear" w:color="auto" w:fill="auto"/>
        </w:rPr>
        <w:t xml:space="preserve">            </w:t>
      </w:r>
      <w:r>
        <w:rPr>
          <w:rFonts w:hint="eastAsia" w:ascii="宋体" w:hAnsi="宋体" w:cs="仿宋_GB2312"/>
          <w:color w:val="auto"/>
          <w:szCs w:val="21"/>
          <w:highlight w:val="none"/>
          <w:shd w:val="clear" w:color="auto" w:fill="auto"/>
        </w:rPr>
        <w:t xml:space="preserve">）。合同价格</w:t>
      </w:r>
      <w:r>
        <w:rPr>
          <w:rFonts w:hint="eastAsia" w:ascii="宋体" w:hAnsi="宋体" w:cs="宋体"/>
          <w:color w:val="auto"/>
          <w:szCs w:val="21"/>
          <w:highlight w:val="none"/>
        </w:rPr>
        <w:t xml:space="preserve">包括完成全部服务所需的人工、</w:t>
      </w:r>
      <w:r>
        <w:rPr>
          <w:rFonts w:hint="eastAsia" w:ascii="宋体" w:hAnsi="宋体" w:cs="宋体"/>
          <w:color w:val="auto"/>
          <w:szCs w:val="21"/>
          <w:highlight w:val="none"/>
          <w:lang w:val="en-US" w:eastAsia="zh-CN"/>
        </w:rPr>
        <w:t xml:space="preserve">运维、</w:t>
      </w:r>
      <w:r>
        <w:rPr>
          <w:rFonts w:hint="eastAsia" w:ascii="宋体" w:hAnsi="宋体" w:cs="宋体"/>
          <w:color w:val="auto"/>
          <w:szCs w:val="21"/>
          <w:highlight w:val="none"/>
        </w:rPr>
        <w:t xml:space="preserve">保险、劳保、管理、设备、</w:t>
      </w:r>
      <w:r>
        <w:rPr>
          <w:rFonts w:hint="eastAsia" w:ascii="宋体" w:hAnsi="宋体" w:cs="宋体"/>
          <w:color w:val="auto"/>
          <w:szCs w:val="21"/>
          <w:highlight w:val="none"/>
          <w:lang w:val="en-US" w:eastAsia="zh-CN"/>
        </w:rPr>
        <w:t xml:space="preserve">备品备件、</w:t>
      </w:r>
      <w:r>
        <w:rPr>
          <w:rFonts w:hint="eastAsia" w:ascii="宋体" w:hAnsi="宋体" w:cs="宋体"/>
          <w:color w:val="auto"/>
          <w:szCs w:val="21"/>
          <w:highlight w:val="none"/>
        </w:rPr>
        <w:t xml:space="preserve">耗材、专家顾问咨询费、税费、检测、</w:t>
      </w:r>
      <w:r>
        <w:rPr>
          <w:rFonts w:hint="eastAsia" w:ascii="宋体" w:hAnsi="宋体" w:cs="宋体"/>
          <w:color w:val="auto"/>
          <w:szCs w:val="21"/>
          <w:highlight w:val="none"/>
          <w:lang w:val="en-US" w:eastAsia="zh-CN"/>
        </w:rPr>
        <w:t xml:space="preserve">验收、</w:t>
      </w:r>
      <w:r>
        <w:rPr>
          <w:rFonts w:hint="eastAsia" w:ascii="宋体" w:hAnsi="宋体" w:cs="宋体"/>
          <w:color w:val="auto"/>
          <w:szCs w:val="21"/>
          <w:highlight w:val="none"/>
        </w:rPr>
        <w:t xml:space="preserve">利润、税金、政策性文件规定及合同包含的所有风险、责任等完成整个项目所产生的其它所有费用</w:t>
      </w:r>
      <w:r>
        <w:rPr>
          <w:rFonts w:hint="eastAsia" w:ascii="宋体" w:hAnsi="宋体" w:cs="仿宋_GB2312"/>
          <w:color w:val="auto"/>
          <w:szCs w:val="21"/>
          <w:highlight w:val="none"/>
          <w:shd w:val="clear" w:color="auto" w:fill="auto"/>
          <w:lang w:val="en-US" w:eastAsia="zh-CN"/>
        </w:rPr>
        <w:t xml:space="preserve">。</w:t>
      </w:r>
      <w:r>
        <w:rPr>
          <w:rFonts w:hint="eastAsia" w:cs="仿宋_GB2312"/>
          <w:color w:val="auto"/>
          <w:szCs w:val="21"/>
          <w:highlight w:val="none"/>
          <w:shd w:val="clear" w:color="auto" w:fill="auto"/>
        </w:rPr>
        <w:t xml:space="preserve">甲方不再支付其他费用。</w:t>
      </w:r>
      <w:r/>
    </w:p>
    <w:p>
      <w:pPr>
        <w:numPr>
          <w:ilvl w:val="1"/>
          <w:numId w:val="48"/>
        </w:numPr>
        <w:spacing w:line="400" w:lineRule="exact"/>
        <w:tabs>
          <w:tab w:val="left" w:pos="54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根据现行税法对甲方征收的与本合同有关的一切税费均由甲方承担；根据现行税法对乙方征收的与本合同有关的一切税费均由乙方承担。</w:t>
      </w:r>
      <w:r/>
    </w:p>
    <w:p>
      <w:pPr>
        <w:numPr>
          <w:ilvl w:val="0"/>
          <w:numId w:val="47"/>
        </w:numPr>
        <w:spacing w:line="400" w:lineRule="exact"/>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服务范围</w:t>
      </w:r>
      <w:r/>
    </w:p>
    <w:p>
      <w:pPr>
        <w:numPr>
          <w:ilvl w:val="1"/>
          <w:numId w:val="47"/>
        </w:numPr>
        <w:spacing w:line="400" w:lineRule="exact"/>
        <w:tabs>
          <w:tab w:val="left" w:pos="567"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本合同项下的服务指：</w:t>
      </w:r>
      <w:r>
        <w:rPr>
          <w:rFonts w:hint="eastAsia" w:ascii="宋体" w:hAnsi="宋体" w:cs="宋体"/>
          <w:color w:val="auto"/>
          <w:szCs w:val="21"/>
          <w:highlight w:val="none"/>
          <w:u w:val="single"/>
          <w:shd w:val="clear" w:color="auto" w:fill="auto"/>
          <w:lang w:eastAsia="zh-CN"/>
        </w:rPr>
        <w:t xml:space="preserve">2026-2027年3台VOCs设备运维</w:t>
      </w:r>
      <w:r>
        <w:rPr>
          <w:rFonts w:hint="eastAsia" w:ascii="宋体" w:hAnsi="宋体" w:cs="宋体"/>
          <w:color w:val="auto"/>
          <w:szCs w:val="21"/>
          <w:highlight w:val="none"/>
          <w:u w:val="none"/>
          <w:shd w:val="clear" w:color="auto" w:fill="auto"/>
        </w:rPr>
        <w:t xml:space="preserve">。</w:t>
      </w:r>
      <w:r/>
    </w:p>
    <w:p>
      <w:pPr>
        <w:numPr>
          <w:ilvl w:val="1"/>
          <w:numId w:val="47"/>
        </w:numPr>
        <w:spacing w:line="400" w:lineRule="exact"/>
        <w:tabs>
          <w:tab w:val="left" w:pos="567"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服务内容</w:t>
      </w:r>
      <w:r>
        <w:rPr>
          <w:rFonts w:hint="eastAsia" w:ascii="宋体" w:hAnsi="宋体" w:cs="宋体"/>
          <w:color w:val="auto"/>
          <w:szCs w:val="21"/>
          <w:highlight w:val="none"/>
          <w:shd w:val="clear" w:color="auto" w:fill="auto"/>
          <w:lang w:val="en-US" w:eastAsia="zh-CN"/>
        </w:rPr>
        <w:t xml:space="preserve">及要求</w:t>
      </w:r>
      <w:r>
        <w:rPr>
          <w:rFonts w:hint="eastAsia" w:ascii="宋体" w:hAnsi="宋体" w:cs="宋体"/>
          <w:color w:val="auto"/>
          <w:szCs w:val="21"/>
          <w:highlight w:val="none"/>
          <w:shd w:val="clear" w:color="auto" w:fill="auto"/>
        </w:rPr>
        <w:t xml:space="preserve">：</w:t>
      </w:r>
      <w:r>
        <w:rPr>
          <w:rFonts w:hint="eastAsia" w:ascii="宋体" w:hAnsi="宋体" w:cs="宋体"/>
          <w:color w:val="auto"/>
          <w:szCs w:val="21"/>
          <w:highlight w:val="none"/>
          <w:u w:val="single"/>
          <w:shd w:val="clear" w:color="auto" w:fill="auto"/>
        </w:rPr>
        <w:t xml:space="preserve">详见采购文件</w:t>
      </w:r>
      <w:r>
        <w:rPr>
          <w:rFonts w:hint="eastAsia" w:ascii="宋体" w:hAnsi="宋体" w:cs="宋体"/>
          <w:color w:val="auto"/>
          <w:szCs w:val="21"/>
          <w:highlight w:val="none"/>
          <w:shd w:val="clear" w:color="auto" w:fill="auto"/>
        </w:rPr>
        <w:t xml:space="preserve">。</w:t>
      </w:r>
      <w:r/>
    </w:p>
    <w:p>
      <w:pPr>
        <w:numPr>
          <w:ilvl w:val="1"/>
          <w:numId w:val="47"/>
        </w:numPr>
        <w:spacing w:line="400" w:lineRule="exact"/>
        <w:tabs>
          <w:tab w:val="left" w:pos="567"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合同履约期限</w:t>
      </w:r>
      <w:r>
        <w:rPr>
          <w:rFonts w:hint="eastAsia" w:ascii="宋体" w:hAnsi="宋体" w:cs="宋体"/>
          <w:color w:val="auto"/>
          <w:szCs w:val="21"/>
          <w:highlight w:val="none"/>
          <w:shd w:val="clear" w:color="auto" w:fill="auto"/>
        </w:rPr>
        <w:t xml:space="preserve">：</w:t>
      </w:r>
      <w:r>
        <w:rPr>
          <w:rFonts w:hint="eastAsia" w:ascii="宋体" w:hAnsi="宋体" w:cs="宋体"/>
          <w:color w:val="auto"/>
          <w:szCs w:val="21"/>
          <w:highlight w:val="none"/>
          <w:u w:val="single"/>
          <w:shd w:val="clear" w:color="auto" w:fill="auto"/>
        </w:rPr>
        <w:t xml:space="preserve">详见采购文件</w:t>
      </w:r>
      <w:r>
        <w:rPr>
          <w:rFonts w:hint="eastAsia" w:ascii="宋体" w:hAnsi="宋体" w:cs="宋体"/>
          <w:color w:val="auto"/>
          <w:szCs w:val="21"/>
          <w:highlight w:val="none"/>
          <w:shd w:val="clear" w:color="auto" w:fill="auto"/>
        </w:rPr>
        <w:t xml:space="preserve">。</w:t>
      </w:r>
      <w:r/>
    </w:p>
    <w:p>
      <w:pPr>
        <w:numPr>
          <w:ilvl w:val="0"/>
          <w:numId w:val="47"/>
        </w:numPr>
        <w:spacing w:line="400" w:lineRule="exact"/>
        <w:tabs>
          <w:tab w:val="left" w:pos="540" w:leader="none"/>
        </w:tabs>
        <w:rPr>
          <w:rFonts w:hint="eastAsia" w:ascii="宋体" w:hAnsi="宋体" w:cs="仿宋_GB2312"/>
          <w:b/>
          <w:color w:val="auto"/>
          <w:szCs w:val="21"/>
          <w:highlight w:val="none"/>
          <w:shd w:val="clear" w:color="auto" w:fill="auto"/>
        </w:rPr>
      </w:pPr>
      <w:r>
        <w:rPr>
          <w:rFonts w:hint="eastAsia" w:ascii="宋体" w:hAnsi="宋体" w:cs="仿宋_GB2312"/>
          <w:b/>
          <w:color w:val="auto"/>
          <w:szCs w:val="21"/>
          <w:highlight w:val="none"/>
          <w:shd w:val="clear" w:color="auto" w:fill="auto"/>
        </w:rPr>
        <w:t xml:space="preserve">合同价格支付</w:t>
      </w:r>
      <w:r/>
    </w:p>
    <w:p>
      <w:pPr>
        <w:numPr>
          <w:ilvl w:val="1"/>
          <w:numId w:val="47"/>
        </w:numPr>
        <w:spacing w:line="400" w:lineRule="exact"/>
        <w:tabs>
          <w:tab w:val="left" w:pos="567" w:leader="none"/>
        </w:tabs>
        <w:rPr>
          <w:rFonts w:hint="eastAsia" w:ascii="宋体" w:hAnsi="宋体" w:eastAsia="宋体"/>
          <w:color w:val="auto"/>
          <w:szCs w:val="21"/>
          <w:highlight w:val="none"/>
          <w:shd w:val="clear" w:color="auto" w:fill="auto"/>
        </w:rPr>
      </w:pPr>
      <w:r>
        <w:rPr>
          <w:rFonts w:hint="eastAsia" w:ascii="宋体" w:hAnsi="宋体" w:eastAsia="宋体"/>
          <w:color w:val="auto"/>
          <w:szCs w:val="21"/>
          <w:highlight w:val="none"/>
          <w:shd w:val="clear" w:color="auto" w:fill="auto"/>
        </w:rPr>
        <w:t xml:space="preserve">支付步骤：</w:t>
      </w:r>
      <w:r/>
    </w:p>
    <w:p>
      <w:pPr>
        <w:numPr>
          <w:ilvl w:val="3"/>
          <w:numId w:val="49"/>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shd w:val="clear" w:color="auto" w:fill="auto"/>
          <w:lang w:val="en-US" w:eastAsia="zh-CN"/>
        </w:rPr>
      </w:pPr>
      <w:r>
        <w:rPr>
          <w:rFonts w:hint="eastAsia" w:ascii="宋体" w:hAnsi="宋体" w:cs="仿宋_GB2312"/>
          <w:color w:val="auto"/>
          <w:szCs w:val="21"/>
          <w:highlight w:val="none"/>
          <w:shd w:val="clear" w:color="auto" w:fill="auto"/>
          <w:lang w:val="en-US" w:eastAsia="zh-CN"/>
        </w:rPr>
        <w:t xml:space="preserve">项目合同签订生效后，乙方</w:t>
      </w:r>
      <w:r>
        <w:rPr>
          <w:rFonts w:hint="eastAsia" w:ascii="宋体" w:hAnsi="宋体" w:cs="仿宋_GB2312"/>
          <w:color w:val="auto"/>
          <w:szCs w:val="21"/>
          <w:highlight w:val="none"/>
          <w:shd w:val="clear" w:color="auto" w:fill="auto"/>
          <w:lang w:val="en-US" w:eastAsia="zh-CN"/>
        </w:rPr>
        <w:t xml:space="preserve">按甲方要求完成预付款申请手续并开具发票后，甲方在收到乙方开具的合格的发票20个工作日内，甲方向乙方支付人民币贰拾伍万元整（￥250000.00），（但累计支付不超过合同款的30%）；2026年9月底前考核，甲方在收到乙方开具的合格的发票20个工作日内，甲方根据考核结果向乙方支付不超过支付人民币叁拾伍元整（￥350000.00）（但累计支付不超过合同款的70%）；2027年4月底前考核，甲方在收到乙方开具的发票20个工作日内，甲方根据考核结果向乙方支付合同剩余款项。如有考核扣款则以扣除考核款后的实际金额为准。</w:t>
      </w:r>
      <w:r/>
    </w:p>
    <w:p>
      <w:pPr>
        <w:numPr>
          <w:ilvl w:val="3"/>
          <w:numId w:val="49"/>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shd w:val="clear" w:color="auto" w:fill="auto"/>
          <w:lang w:val="en-US" w:eastAsia="zh-CN"/>
        </w:rPr>
      </w:pPr>
      <w:r>
        <w:rPr>
          <w:rFonts w:hint="eastAsia" w:ascii="宋体" w:hAnsi="宋体" w:cs="仿宋_GB2312"/>
          <w:color w:val="auto"/>
          <w:szCs w:val="21"/>
          <w:highlight w:val="none"/>
          <w:shd w:val="clear" w:color="auto" w:fill="auto"/>
          <w:lang w:val="en-US" w:eastAsia="zh-CN"/>
        </w:rPr>
        <w:t xml:space="preserve">本项目服务期内甲方付款前将进行工作考核，根据考核结果，得分在95分及以上的，全额支付相应服务费用；得分在95分至60分之间的，按照全额应付服务费用95%-60%的比例支付的相应服务费用；得分低于60分的，甲方有权拒绝支付剩余合同价款或不支付相应服务费用并终止合同并追要多付合同价款。</w:t>
      </w:r>
      <w:r/>
    </w:p>
    <w:p>
      <w:pPr>
        <w:numPr>
          <w:ilvl w:val="1"/>
          <w:numId w:val="47"/>
        </w:numPr>
        <w:spacing w:line="400" w:lineRule="exact"/>
        <w:tabs>
          <w:tab w:val="left" w:pos="567" w:leader="none"/>
        </w:tabs>
        <w:rPr>
          <w:rFonts w:hint="eastAsia" w:ascii="宋体" w:hAnsi="宋体" w:cs="仿宋_GB2312"/>
          <w:color w:val="auto"/>
          <w:szCs w:val="21"/>
          <w:highlight w:val="none"/>
          <w:shd w:val="clear" w:color="auto" w:fill="auto"/>
        </w:rPr>
      </w:pPr>
      <w:r>
        <w:rPr>
          <w:rFonts w:hint="eastAsia" w:ascii="宋体" w:hAnsi="宋体"/>
          <w:color w:val="auto"/>
          <w:szCs w:val="21"/>
          <w:highlight w:val="none"/>
          <w:shd w:val="clear" w:color="auto" w:fill="auto"/>
        </w:rPr>
        <w:t xml:space="preserve">乙方</w:t>
      </w:r>
      <w:r>
        <w:rPr>
          <w:rFonts w:hint="eastAsia" w:ascii="宋体" w:hAnsi="宋体" w:cs="仿宋_GB2312"/>
          <w:color w:val="auto"/>
          <w:szCs w:val="21"/>
          <w:highlight w:val="none"/>
          <w:shd w:val="clear" w:color="auto" w:fill="auto"/>
        </w:rPr>
        <w:t xml:space="preserve">要求付款应提供以下资料：</w:t>
      </w:r>
      <w:r/>
    </w:p>
    <w:p>
      <w:pPr>
        <w:numPr>
          <w:ilvl w:val="3"/>
          <w:numId w:val="50"/>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合格的</w:t>
      </w:r>
      <w:r>
        <w:rPr>
          <w:rFonts w:ascii="宋体" w:hAnsi="宋体"/>
          <w:color w:val="auto"/>
          <w:szCs w:val="21"/>
          <w:highlight w:val="none"/>
          <w:shd w:val="clear" w:color="auto" w:fill="auto"/>
        </w:rPr>
        <w:t xml:space="preserve">发票</w:t>
      </w:r>
      <w:r>
        <w:rPr>
          <w:rFonts w:hint="eastAsia" w:ascii="宋体" w:hAnsi="宋体" w:cs="仿宋_GB2312"/>
          <w:color w:val="auto"/>
          <w:szCs w:val="21"/>
          <w:highlight w:val="none"/>
          <w:shd w:val="clear" w:color="auto" w:fill="auto"/>
        </w:rPr>
        <w:t xml:space="preserve">。</w:t>
      </w:r>
      <w:r/>
    </w:p>
    <w:p>
      <w:pPr>
        <w:numPr>
          <w:ilvl w:val="3"/>
          <w:numId w:val="50"/>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lang w:val="en-US" w:eastAsia="zh-CN"/>
        </w:rPr>
        <w:t xml:space="preserve">其他（如有）</w:t>
      </w:r>
      <w:r>
        <w:rPr>
          <w:rFonts w:hint="eastAsia" w:ascii="宋体" w:hAnsi="宋体" w:cs="仿宋_GB2312"/>
          <w:color w:val="auto"/>
          <w:szCs w:val="21"/>
          <w:highlight w:val="none"/>
          <w:shd w:val="clear" w:color="auto" w:fill="auto"/>
        </w:rPr>
        <w:t xml:space="preserve">。</w:t>
      </w:r>
      <w:r/>
    </w:p>
    <w:p>
      <w:pPr>
        <w:numPr>
          <w:ilvl w:val="1"/>
          <w:numId w:val="47"/>
        </w:numPr>
        <w:spacing w:line="400" w:lineRule="exact"/>
        <w:tabs>
          <w:tab w:val="left" w:pos="540" w:leader="none"/>
          <w:tab w:val="left" w:pos="567" w:leader="none"/>
        </w:tabs>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支付</w:t>
      </w:r>
      <w:r>
        <w:rPr>
          <w:rFonts w:hint="eastAsia" w:ascii="宋体" w:hAnsi="宋体"/>
          <w:color w:val="auto"/>
          <w:szCs w:val="21"/>
          <w:highlight w:val="none"/>
          <w:shd w:val="clear" w:color="auto" w:fill="auto"/>
        </w:rPr>
        <w:t xml:space="preserve">方式</w:t>
      </w:r>
      <w:r>
        <w:rPr>
          <w:rFonts w:hint="eastAsia" w:ascii="宋体" w:hAnsi="宋体" w:cs="仿宋_GB2312"/>
          <w:color w:val="auto"/>
          <w:szCs w:val="21"/>
          <w:highlight w:val="none"/>
          <w:shd w:val="clear" w:color="auto" w:fill="auto"/>
        </w:rPr>
        <w:t xml:space="preserve">：1）银行转账；2）数字人民币支付。</w:t>
      </w:r>
      <w:r/>
    </w:p>
    <w:p>
      <w:pPr>
        <w:numPr>
          <w:ilvl w:val="1"/>
          <w:numId w:val="47"/>
        </w:numPr>
        <w:spacing w:line="400" w:lineRule="exact"/>
        <w:tabs>
          <w:tab w:val="left" w:pos="540" w:leader="none"/>
          <w:tab w:val="left" w:pos="567" w:leader="none"/>
        </w:tabs>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乙方账户信息：</w:t>
      </w:r>
      <w:r/>
    </w:p>
    <w:p>
      <w:pPr>
        <w:numPr>
          <w:ilvl w:val="255"/>
          <w:numId w:val="0"/>
        </w:numPr>
        <w:ind w:firstLine="630"/>
        <w:spacing w:line="400" w:lineRule="exact"/>
        <w:tabs>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户名：</w:t>
      </w:r>
      <w:r/>
    </w:p>
    <w:p>
      <w:pPr>
        <w:numPr>
          <w:ilvl w:val="255"/>
          <w:numId w:val="0"/>
        </w:numPr>
        <w:ind w:firstLine="630"/>
        <w:spacing w:line="400" w:lineRule="exact"/>
        <w:tabs>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收款账号：</w:t>
      </w:r>
      <w:r/>
    </w:p>
    <w:p>
      <w:pPr>
        <w:numPr>
          <w:ilvl w:val="255"/>
          <w:numId w:val="0"/>
        </w:numPr>
        <w:ind w:firstLine="630"/>
        <w:spacing w:line="400" w:lineRule="exact"/>
        <w:tabs>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开户行：</w:t>
      </w:r>
      <w:r/>
    </w:p>
    <w:p>
      <w:pPr>
        <w:ind w:firstLine="630"/>
        <w:spacing w:line="400" w:lineRule="exact"/>
        <w:tabs>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数字钱包ID：</w:t>
      </w:r>
      <w:r/>
    </w:p>
    <w:p>
      <w:pPr>
        <w:numPr>
          <w:ilvl w:val="1"/>
          <w:numId w:val="47"/>
        </w:numPr>
        <w:spacing w:line="400" w:lineRule="exact"/>
        <w:tabs>
          <w:tab w:val="left" w:pos="540" w:leader="none"/>
          <w:tab w:val="left" w:pos="567" w:leader="none"/>
        </w:tabs>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若由于乙方未能及时开具符合甲方要求的发票、提供的账户有误等可归结于乙方的原因，导致甲方逾期付款的，甲方不承担任何逾期付款的责任，并且甲方有权拒绝支付相应款项。</w:t>
      </w:r>
      <w:r/>
    </w:p>
    <w:p>
      <w:pPr>
        <w:numPr>
          <w:ilvl w:val="1"/>
          <w:numId w:val="47"/>
        </w:numPr>
        <w:spacing w:line="400" w:lineRule="exact"/>
        <w:tabs>
          <w:tab w:val="left" w:pos="540" w:leader="none"/>
          <w:tab w:val="left" w:pos="567" w:leader="none"/>
        </w:tabs>
        <w:rPr>
          <w:rFonts w:hint="eastAsia" w:cs="宋体" w:asciiTheme="minorEastAsia" w:hAnsiTheme="minorEastAsia" w:eastAsiaTheme="minorEastAsia"/>
          <w:color w:val="auto"/>
          <w:szCs w:val="21"/>
          <w:highlight w:val="none"/>
          <w:shd w:val="clear" w:color="auto" w:fill="auto"/>
        </w:rPr>
      </w:pPr>
      <w:r>
        <w:rPr>
          <w:rFonts w:hint="eastAsia" w:ascii="宋体" w:hAnsi="宋体" w:cs="仿宋_GB2312"/>
          <w:color w:val="auto"/>
          <w:szCs w:val="21"/>
          <w:highlight w:val="none"/>
          <w:shd w:val="clear" w:color="auto" w:fill="auto"/>
        </w:rPr>
        <w:t xml:space="preserve">乙方知悉甲</w:t>
      </w:r>
      <w:r>
        <w:rPr>
          <w:rFonts w:hint="eastAsia" w:cs="宋体" w:asciiTheme="minorEastAsia" w:hAnsiTheme="minorEastAsia" w:eastAsiaTheme="minorEastAsia"/>
          <w:color w:val="auto"/>
          <w:szCs w:val="21"/>
          <w:highlight w:val="none"/>
          <w:shd w:val="clear" w:color="auto" w:fill="auto"/>
        </w:rPr>
        <w:t xml:space="preserve">方资金的属性，如由于甲方财政资金拨付不到位等财政方面的原因导致甲方付款逾期的，则乙方同意不视为甲方违约，不追究甲方的违约责任，且不得以此为由拒绝履行本合同项下的义务。</w:t>
      </w:r>
      <w:r/>
    </w:p>
    <w:p>
      <w:pPr>
        <w:numPr>
          <w:ilvl w:val="0"/>
          <w:numId w:val="47"/>
        </w:numPr>
        <w:spacing w:line="400" w:lineRule="exact"/>
        <w:tabs>
          <w:tab w:val="left" w:pos="540" w:leader="none"/>
        </w:tabs>
        <w:rPr>
          <w:rFonts w:hint="eastAsia" w:ascii="宋体" w:hAnsi="宋体" w:eastAsia="宋体" w:cs="宋体"/>
          <w:b/>
          <w:bCs/>
          <w:color w:val="auto"/>
          <w:highlight w:val="none"/>
          <w:shd w:val="clear" w:color="auto" w:fill="auto"/>
          <w:lang w:val="en-US" w:eastAsia="zh-CN"/>
        </w:rPr>
      </w:pPr>
      <w:r>
        <w:rPr>
          <w:rFonts w:hint="eastAsia" w:ascii="宋体" w:hAnsi="宋体" w:eastAsia="宋体" w:cs="宋体"/>
          <w:b/>
          <w:bCs/>
          <w:color w:val="auto"/>
          <w:highlight w:val="none"/>
          <w:shd w:val="clear" w:color="auto" w:fill="auto"/>
          <w:lang w:val="en-US" w:eastAsia="zh-CN"/>
        </w:rPr>
        <w:t xml:space="preserve">责任与义务：</w:t>
      </w:r>
      <w:r/>
    </w:p>
    <w:p>
      <w:pPr>
        <w:numPr>
          <w:ilvl w:val="1"/>
          <w:numId w:val="47"/>
        </w:numPr>
        <w:keepLines w:val="0"/>
        <w:keepNext w:val="0"/>
        <w:pageBreakBefore w:val="0"/>
        <w:spacing w:line="400" w:lineRule="exact"/>
        <w:widowControl w:val="off"/>
        <w:tabs>
          <w:tab w:val="left" w:pos="540" w:leader="none"/>
          <w:tab w:val="left" w:pos="567" w:leader="none"/>
        </w:tabs>
        <w:rPr>
          <w:rFonts w:hint="eastAsia" w:ascii="宋体" w:hAnsi="宋体" w:eastAsia="宋体" w:cs="宋体"/>
          <w:b/>
          <w:bCs/>
          <w:color w:val="auto"/>
          <w:highlight w:val="none"/>
          <w:shd w:val="clear" w:color="auto" w:fill="auto"/>
          <w:lang w:val="en-US" w:eastAsia="zh-CN"/>
        </w:rPr>
        <w:outlineLvl w:val="9"/>
      </w:pPr>
      <w:r>
        <w:rPr>
          <w:rFonts w:hint="eastAsia" w:ascii="宋体" w:hAnsi="宋体" w:eastAsia="宋体" w:cs="宋体"/>
          <w:b/>
          <w:bCs/>
          <w:color w:val="auto"/>
          <w:highlight w:val="none"/>
          <w:shd w:val="clear" w:color="auto" w:fill="auto"/>
          <w:lang w:val="en-US" w:eastAsia="zh-CN"/>
        </w:rPr>
        <w:t xml:space="preserve">甲方的责任与义务</w:t>
      </w:r>
      <w:r/>
    </w:p>
    <w:p>
      <w:pPr>
        <w:numPr>
          <w:ilvl w:val="3"/>
          <w:numId w:val="51"/>
        </w:numPr>
        <w:ind w:left="1080" w:right="-153" w:hanging="540"/>
        <w:keepLines w:val="0"/>
        <w:keepNext w:val="0"/>
        <w:pageBreakBefore w:val="0"/>
        <w:spacing w:line="400" w:lineRule="exact"/>
        <w:widowControl w:val="off"/>
        <w:tabs>
          <w:tab w:val="left" w:pos="1080" w:leader="none"/>
          <w:tab w:val="clear" w:pos="2579" w:leader="none"/>
        </w:tabs>
        <w:rPr>
          <w:rFonts w:hint="eastAsia" w:ascii="宋体" w:hAnsi="宋体" w:eastAsia="宋体" w:cs="仿宋_GB2312"/>
          <w:color w:val="auto"/>
          <w:szCs w:val="21"/>
          <w:highlight w:val="none"/>
          <w:shd w:val="clear" w:color="auto" w:fill="auto"/>
        </w:rPr>
        <w:outlineLvl w:val="9"/>
      </w:pPr>
      <w:r>
        <w:rPr>
          <w:rFonts w:hint="eastAsia" w:ascii="宋体" w:hAnsi="宋体" w:eastAsia="宋体" w:cs="仿宋_GB2312"/>
          <w:color w:val="auto"/>
          <w:szCs w:val="21"/>
          <w:highlight w:val="none"/>
          <w:shd w:val="clear" w:color="auto" w:fill="auto"/>
        </w:rPr>
        <w:t xml:space="preserve">甲方应履行基本程序，根据项目的具体情况和技术要求确定合理的工作量，并按合同有关规定支付费用。</w:t>
      </w:r>
      <w:r/>
    </w:p>
    <w:p>
      <w:pPr>
        <w:numPr>
          <w:ilvl w:val="3"/>
          <w:numId w:val="51"/>
        </w:numPr>
        <w:ind w:left="1080" w:right="-153" w:hanging="540"/>
        <w:keepLines w:val="0"/>
        <w:keepNext w:val="0"/>
        <w:pageBreakBefore w:val="0"/>
        <w:spacing w:line="400" w:lineRule="exact"/>
        <w:widowControl w:val="off"/>
        <w:tabs>
          <w:tab w:val="left" w:pos="1080" w:leader="none"/>
          <w:tab w:val="clear" w:pos="2579" w:leader="none"/>
        </w:tabs>
        <w:rPr>
          <w:rFonts w:hint="eastAsia" w:ascii="宋体" w:hAnsi="宋体" w:eastAsia="宋体" w:cs="仿宋_GB2312"/>
          <w:color w:val="auto"/>
          <w:szCs w:val="21"/>
          <w:highlight w:val="none"/>
          <w:shd w:val="clear" w:color="auto" w:fill="auto"/>
        </w:rPr>
        <w:outlineLvl w:val="9"/>
      </w:pPr>
      <w:r>
        <w:rPr>
          <w:rFonts w:hint="eastAsia" w:ascii="宋体" w:hAnsi="宋体" w:eastAsia="宋体" w:cs="仿宋_GB2312"/>
          <w:color w:val="auto"/>
          <w:szCs w:val="21"/>
          <w:highlight w:val="none"/>
          <w:shd w:val="clear" w:color="auto" w:fill="auto"/>
        </w:rPr>
        <w:t xml:space="preserve">甲方应向乙方提供开展工作所需要的相关文件、资料。</w:t>
      </w:r>
      <w:r/>
    </w:p>
    <w:p>
      <w:pPr>
        <w:numPr>
          <w:ilvl w:val="3"/>
          <w:numId w:val="51"/>
        </w:numPr>
        <w:ind w:left="1080" w:right="-153" w:hanging="540"/>
        <w:keepLines w:val="0"/>
        <w:keepNext w:val="0"/>
        <w:pageBreakBefore w:val="0"/>
        <w:spacing w:line="400" w:lineRule="exact"/>
        <w:widowControl w:val="off"/>
        <w:tabs>
          <w:tab w:val="left" w:pos="1080" w:leader="none"/>
          <w:tab w:val="clear" w:pos="2579" w:leader="none"/>
        </w:tabs>
        <w:rPr>
          <w:rFonts w:hint="eastAsia" w:ascii="宋体" w:hAnsi="宋体" w:eastAsia="宋体" w:cs="仿宋_GB2312"/>
          <w:color w:val="auto"/>
          <w:szCs w:val="21"/>
          <w:highlight w:val="none"/>
          <w:shd w:val="clear" w:color="auto" w:fill="auto"/>
        </w:rPr>
        <w:outlineLvl w:val="9"/>
      </w:pPr>
      <w:r>
        <w:rPr>
          <w:rFonts w:hint="eastAsia" w:ascii="宋体" w:hAnsi="宋体" w:eastAsia="宋体" w:cs="仿宋_GB2312"/>
          <w:color w:val="auto"/>
          <w:szCs w:val="21"/>
          <w:highlight w:val="none"/>
          <w:shd w:val="clear" w:color="auto" w:fill="auto"/>
        </w:rPr>
        <w:t xml:space="preserve">在项目进行过程中，甲方应对乙方与地方政府及有关部门的协调工作提供必要的协助，但并不免除乙方根据本合同规定应负的责任。 </w:t>
      </w:r>
      <w:r/>
    </w:p>
    <w:p>
      <w:pPr>
        <w:numPr>
          <w:ilvl w:val="3"/>
          <w:numId w:val="51"/>
        </w:numPr>
        <w:ind w:left="1080" w:right="-153" w:hanging="540"/>
        <w:keepLines w:val="0"/>
        <w:keepNext w:val="0"/>
        <w:pageBreakBefore w:val="0"/>
        <w:spacing w:line="400" w:lineRule="exact"/>
        <w:widowControl w:val="off"/>
        <w:tabs>
          <w:tab w:val="left" w:pos="1080" w:leader="none"/>
          <w:tab w:val="clear" w:pos="2579" w:leader="none"/>
        </w:tabs>
        <w:rPr>
          <w:rFonts w:ascii="宋体" w:hAnsi="宋体" w:cs="宋体"/>
          <w:color w:val="auto"/>
          <w:szCs w:val="21"/>
          <w:highlight w:val="none"/>
        </w:rPr>
        <w:outlineLvl w:val="9"/>
      </w:pPr>
      <w:r>
        <w:rPr>
          <w:rFonts w:hint="eastAsia" w:ascii="宋体" w:hAnsi="宋体" w:eastAsia="宋体" w:cs="仿宋_GB2312"/>
          <w:color w:val="auto"/>
          <w:szCs w:val="21"/>
          <w:highlight w:val="none"/>
          <w:shd w:val="clear" w:color="auto" w:fill="auto"/>
        </w:rPr>
        <w:t xml:space="preserve">除合同另有规定外，甲方应保护乙方单位的响应文件、方案和专利技术。未经乙方单位同意，甲方对乙方单位提交的资料及文件不得擅自修改、复制或</w:t>
      </w:r>
      <w:r>
        <w:rPr>
          <w:rFonts w:hint="eastAsia" w:ascii="宋体" w:hAnsi="宋体" w:cs="宋体"/>
          <w:color w:val="auto"/>
          <w:szCs w:val="21"/>
          <w:highlight w:val="none"/>
        </w:rPr>
        <w:t xml:space="preserve">转让或用于本合同以外的项目。</w:t>
      </w:r>
      <w:r/>
    </w:p>
    <w:p>
      <w:pPr>
        <w:numPr>
          <w:ilvl w:val="1"/>
          <w:numId w:val="47"/>
        </w:numPr>
        <w:keepLines w:val="0"/>
        <w:keepNext w:val="0"/>
        <w:pageBreakBefore w:val="0"/>
        <w:spacing w:line="400" w:lineRule="exact"/>
        <w:widowControl w:val="off"/>
        <w:tabs>
          <w:tab w:val="left" w:pos="540" w:leader="none"/>
          <w:tab w:val="left" w:pos="567" w:leader="none"/>
        </w:tabs>
        <w:rPr>
          <w:rFonts w:ascii="宋体" w:hAnsi="宋体" w:cs="宋体"/>
          <w:b/>
          <w:color w:val="auto"/>
          <w:szCs w:val="21"/>
          <w:highlight w:val="none"/>
        </w:rPr>
        <w:outlineLvl w:val="9"/>
      </w:pPr>
      <w:r>
        <w:rPr>
          <w:rFonts w:hint="eastAsia" w:ascii="宋体" w:hAnsi="宋体" w:cs="宋体"/>
          <w:b/>
          <w:color w:val="auto"/>
          <w:szCs w:val="21"/>
          <w:highlight w:val="none"/>
        </w:rPr>
        <w:t xml:space="preserve">乙方的责任与义务</w:t>
      </w:r>
      <w:r/>
    </w:p>
    <w:p>
      <w:pPr>
        <w:numPr>
          <w:ilvl w:val="3"/>
          <w:numId w:val="52"/>
        </w:numPr>
        <w:ind w:left="1080" w:right="-153" w:hanging="540"/>
        <w:keepLines w:val="0"/>
        <w:keepNext w:val="0"/>
        <w:pageBreakBefore w:val="0"/>
        <w:spacing w:line="400" w:lineRule="exact"/>
        <w:widowControl w:val="off"/>
        <w:tabs>
          <w:tab w:val="left" w:pos="1080" w:leader="none"/>
          <w:tab w:val="clear" w:pos="2579" w:leader="none"/>
        </w:tabs>
        <w:rPr>
          <w:rFonts w:hint="eastAsia" w:ascii="宋体" w:hAnsi="宋体" w:eastAsia="宋体" w:cs="仿宋_GB2312"/>
          <w:color w:val="auto"/>
          <w:szCs w:val="21"/>
          <w:highlight w:val="none"/>
          <w:shd w:val="clear" w:color="auto" w:fill="auto"/>
        </w:rPr>
        <w:outlineLvl w:val="9"/>
      </w:pPr>
      <w:r>
        <w:rPr>
          <w:rFonts w:hint="eastAsia" w:ascii="宋体" w:hAnsi="宋体" w:eastAsia="宋体" w:cs="仿宋_GB2312"/>
          <w:color w:val="auto"/>
          <w:szCs w:val="21"/>
          <w:highlight w:val="none"/>
          <w:shd w:val="clear" w:color="auto" w:fill="auto"/>
        </w:rPr>
        <w:t xml:space="preserve">乙方应根据响应文件和签订的合同，按照合同规定，完成本合同项目的工作。</w:t>
      </w:r>
      <w:r/>
    </w:p>
    <w:p>
      <w:pPr>
        <w:numPr>
          <w:ilvl w:val="3"/>
          <w:numId w:val="52"/>
        </w:numPr>
        <w:ind w:left="1080" w:right="-153" w:hanging="540"/>
        <w:keepLines w:val="0"/>
        <w:keepNext w:val="0"/>
        <w:pageBreakBefore w:val="0"/>
        <w:spacing w:line="400" w:lineRule="exact"/>
        <w:widowControl w:val="off"/>
        <w:tabs>
          <w:tab w:val="left" w:pos="1080" w:leader="none"/>
          <w:tab w:val="clear" w:pos="2579" w:leader="none"/>
        </w:tabs>
        <w:rPr>
          <w:rFonts w:hint="eastAsia" w:ascii="宋体" w:hAnsi="宋体" w:eastAsia="宋体" w:cs="仿宋_GB2312"/>
          <w:color w:val="auto"/>
          <w:szCs w:val="21"/>
          <w:highlight w:val="none"/>
          <w:shd w:val="clear" w:color="auto" w:fill="auto"/>
        </w:rPr>
        <w:outlineLvl w:val="9"/>
      </w:pPr>
      <w:r>
        <w:rPr>
          <w:rFonts w:hint="eastAsia" w:ascii="宋体" w:hAnsi="宋体" w:eastAsia="宋体" w:cs="仿宋_GB2312"/>
          <w:color w:val="auto"/>
          <w:szCs w:val="21"/>
          <w:highlight w:val="none"/>
          <w:shd w:val="clear" w:color="auto" w:fill="auto"/>
        </w:rPr>
        <w:t xml:space="preserve">乙方应做好项目的质量管理工作，建立健全的质量保证体系，加强项目全过程的质量控制，建立报告的编制、审核、会签和批准制度，明确各阶段的责任人，并对质量负责。</w:t>
      </w:r>
      <w:r/>
    </w:p>
    <w:p>
      <w:pPr>
        <w:numPr>
          <w:ilvl w:val="3"/>
          <w:numId w:val="52"/>
        </w:numPr>
        <w:ind w:left="1080" w:right="-153" w:hanging="540"/>
        <w:keepLines w:val="0"/>
        <w:keepNext w:val="0"/>
        <w:pageBreakBefore w:val="0"/>
        <w:spacing w:line="400" w:lineRule="exact"/>
        <w:widowControl w:val="off"/>
        <w:tabs>
          <w:tab w:val="left" w:pos="1080" w:leader="none"/>
          <w:tab w:val="clear" w:pos="2579" w:leader="none"/>
        </w:tabs>
        <w:rPr>
          <w:rFonts w:hint="eastAsia" w:ascii="宋体" w:hAnsi="宋体" w:eastAsia="宋体" w:cs="仿宋_GB2312"/>
          <w:color w:val="auto"/>
          <w:szCs w:val="21"/>
          <w:highlight w:val="none"/>
          <w:shd w:val="clear" w:color="auto" w:fill="auto"/>
        </w:rPr>
        <w:outlineLvl w:val="9"/>
      </w:pPr>
      <w:r>
        <w:rPr>
          <w:rFonts w:hint="eastAsia" w:ascii="宋体" w:hAnsi="宋体" w:eastAsia="宋体" w:cs="仿宋_GB2312"/>
          <w:color w:val="auto"/>
          <w:szCs w:val="21"/>
          <w:highlight w:val="none"/>
          <w:shd w:val="clear" w:color="auto" w:fill="auto"/>
        </w:rPr>
        <w:t xml:space="preserve">报告必须符合下列要求：</w:t>
      </w:r>
      <w:r/>
    </w:p>
    <w:p>
      <w:pPr>
        <w:numPr>
          <w:ilvl w:val="0"/>
          <w:numId w:val="53"/>
        </w:numPr>
        <w:ind w:left="1465" w:hanging="405"/>
        <w:jc w:val="left"/>
        <w:keepLines w:val="0"/>
        <w:keepNext w:val="0"/>
        <w:pageBreakBefore w:val="0"/>
        <w:spacing w:line="400" w:lineRule="exact"/>
        <w:widowControl w:val="off"/>
        <w:rPr>
          <w:rFonts w:ascii="宋体" w:hAnsi="宋体" w:cs="宋体"/>
          <w:color w:val="auto"/>
          <w:szCs w:val="21"/>
          <w:highlight w:val="none"/>
        </w:rPr>
        <w:outlineLvl w:val="9"/>
      </w:pPr>
      <w:r>
        <w:rPr>
          <w:rFonts w:hint="eastAsia" w:ascii="宋体" w:hAnsi="宋体" w:cs="宋体"/>
          <w:color w:val="auto"/>
          <w:szCs w:val="21"/>
          <w:highlight w:val="none"/>
        </w:rPr>
        <w:t xml:space="preserve">本项目的过程和成果均必须符合国家颁布的有关方面现行的规程、标准、规范、办法以及有关文件和规定；</w:t>
      </w:r>
      <w:r/>
    </w:p>
    <w:p>
      <w:pPr>
        <w:numPr>
          <w:ilvl w:val="0"/>
          <w:numId w:val="53"/>
        </w:numPr>
        <w:ind w:left="1465" w:hanging="405"/>
        <w:jc w:val="left"/>
        <w:keepLines w:val="0"/>
        <w:keepNext w:val="0"/>
        <w:pageBreakBefore w:val="0"/>
        <w:spacing w:line="400" w:lineRule="exact"/>
        <w:widowControl w:val="off"/>
        <w:rPr>
          <w:rFonts w:ascii="宋体" w:hAnsi="宋体" w:cs="宋体"/>
          <w:color w:val="auto"/>
          <w:szCs w:val="21"/>
          <w:highlight w:val="none"/>
        </w:rPr>
        <w:outlineLvl w:val="9"/>
      </w:pPr>
      <w:r>
        <w:rPr>
          <w:rFonts w:hint="eastAsia" w:ascii="宋体" w:hAnsi="宋体" w:cs="宋体"/>
          <w:color w:val="auto"/>
          <w:szCs w:val="21"/>
          <w:highlight w:val="none"/>
        </w:rPr>
        <w:t xml:space="preserve">基本资料应完整、准确、可靠，论证充分，成果可靠；</w:t>
      </w:r>
      <w:r/>
    </w:p>
    <w:p>
      <w:pPr>
        <w:numPr>
          <w:ilvl w:val="0"/>
          <w:numId w:val="53"/>
        </w:numPr>
        <w:ind w:left="1465" w:hanging="405"/>
        <w:jc w:val="left"/>
        <w:keepLines w:val="0"/>
        <w:keepNext w:val="0"/>
        <w:pageBreakBefore w:val="0"/>
        <w:spacing w:line="400" w:lineRule="exact"/>
        <w:widowControl w:val="off"/>
        <w:rPr>
          <w:rFonts w:ascii="宋体" w:hAnsi="宋体" w:cs="宋体"/>
          <w:color w:val="auto"/>
          <w:szCs w:val="21"/>
          <w:highlight w:val="none"/>
        </w:rPr>
        <w:outlineLvl w:val="9"/>
      </w:pPr>
      <w:r>
        <w:rPr>
          <w:rFonts w:hint="eastAsia" w:ascii="宋体" w:hAnsi="宋体" w:cs="宋体"/>
          <w:color w:val="auto"/>
          <w:szCs w:val="21"/>
          <w:highlight w:val="none"/>
        </w:rPr>
        <w:t xml:space="preserve">报告的深度应满足合同规定要求，并符合相关评估办法的要求；</w:t>
      </w:r>
      <w:r/>
    </w:p>
    <w:p>
      <w:pPr>
        <w:numPr>
          <w:ilvl w:val="0"/>
          <w:numId w:val="53"/>
        </w:numPr>
        <w:ind w:left="1465" w:hanging="405"/>
        <w:jc w:val="left"/>
        <w:keepLines w:val="0"/>
        <w:keepNext w:val="0"/>
        <w:pageBreakBefore w:val="0"/>
        <w:spacing w:line="400" w:lineRule="exact"/>
        <w:widowControl w:val="off"/>
        <w:rPr>
          <w:rFonts w:ascii="宋体" w:hAnsi="宋体" w:cs="宋体"/>
          <w:color w:val="auto"/>
          <w:szCs w:val="21"/>
          <w:highlight w:val="none"/>
        </w:rPr>
        <w:outlineLvl w:val="9"/>
      </w:pPr>
      <w:r>
        <w:rPr>
          <w:rFonts w:hint="eastAsia" w:ascii="宋体" w:hAnsi="宋体" w:cs="宋体"/>
          <w:color w:val="auto"/>
          <w:szCs w:val="21"/>
          <w:highlight w:val="none"/>
        </w:rPr>
        <w:t xml:space="preserve">报告除符合上述1）-3）条的要求外，还应满足</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文件中其他规定。</w:t>
      </w:r>
      <w:r/>
    </w:p>
    <w:p>
      <w:pPr>
        <w:numPr>
          <w:ilvl w:val="3"/>
          <w:numId w:val="52"/>
        </w:numPr>
        <w:ind w:left="1080" w:right="-153" w:hanging="540"/>
        <w:keepLines w:val="0"/>
        <w:keepNext w:val="0"/>
        <w:pageBreakBefore w:val="0"/>
        <w:spacing w:line="400" w:lineRule="exact"/>
        <w:widowControl w:val="off"/>
        <w:tabs>
          <w:tab w:val="left" w:pos="1080" w:leader="none"/>
          <w:tab w:val="clear" w:pos="2579" w:leader="none"/>
        </w:tabs>
        <w:rPr>
          <w:rFonts w:hint="eastAsia" w:ascii="宋体" w:hAnsi="宋体" w:eastAsia="宋体" w:cs="仿宋_GB2312"/>
          <w:color w:val="auto"/>
          <w:szCs w:val="21"/>
          <w:highlight w:val="none"/>
          <w:shd w:val="clear" w:color="auto" w:fill="auto"/>
        </w:rPr>
        <w:outlineLvl w:val="9"/>
      </w:pPr>
      <w:r>
        <w:rPr>
          <w:rFonts w:hint="eastAsia" w:ascii="宋体" w:hAnsi="宋体" w:eastAsia="宋体" w:cs="仿宋_GB2312"/>
          <w:color w:val="auto"/>
          <w:szCs w:val="21"/>
          <w:highlight w:val="none"/>
          <w:shd w:val="clear" w:color="auto" w:fill="auto"/>
        </w:rPr>
        <w:t xml:space="preserve">乙方在项目进行过程中，如果发生侵犯专利权等行为而引起索赔或诉讼，则乙方应承担全部责任，并保障甲方免于承担由此造成的一切损害和损失。</w:t>
      </w:r>
      <w:r/>
    </w:p>
    <w:p>
      <w:pPr>
        <w:numPr>
          <w:ilvl w:val="3"/>
          <w:numId w:val="52"/>
        </w:numPr>
        <w:ind w:left="1080" w:right="-153" w:hanging="540"/>
        <w:keepLines w:val="0"/>
        <w:keepNext w:val="0"/>
        <w:pageBreakBefore w:val="0"/>
        <w:spacing w:line="400" w:lineRule="exact"/>
        <w:widowControl w:val="off"/>
        <w:tabs>
          <w:tab w:val="left" w:pos="1080" w:leader="none"/>
          <w:tab w:val="clear" w:pos="2579" w:leader="none"/>
        </w:tabs>
        <w:rPr>
          <w:rFonts w:hint="eastAsia" w:ascii="宋体" w:hAnsi="宋体" w:eastAsia="宋体" w:cs="仿宋_GB2312"/>
          <w:color w:val="auto"/>
          <w:szCs w:val="21"/>
          <w:highlight w:val="none"/>
          <w:shd w:val="clear" w:color="auto" w:fill="auto"/>
        </w:rPr>
        <w:outlineLvl w:val="9"/>
      </w:pPr>
      <w:r>
        <w:rPr>
          <w:rFonts w:hint="eastAsia" w:ascii="宋体" w:hAnsi="宋体" w:eastAsia="宋体" w:cs="仿宋_GB2312"/>
          <w:color w:val="auto"/>
          <w:szCs w:val="21"/>
          <w:highlight w:val="none"/>
          <w:shd w:val="clear" w:color="auto" w:fill="auto"/>
        </w:rPr>
        <w:t xml:space="preserve">乙方应定期以书面形式向甲方汇报进度和任务完成情况，并接受甲方的检查，同时根据甲方要求向甲方汇报或接受检查。</w:t>
      </w:r>
      <w:r/>
    </w:p>
    <w:p>
      <w:pPr>
        <w:numPr>
          <w:ilvl w:val="3"/>
          <w:numId w:val="52"/>
        </w:numPr>
        <w:ind w:left="1080" w:right="-153" w:hanging="540"/>
        <w:keepLines w:val="0"/>
        <w:keepNext w:val="0"/>
        <w:pageBreakBefore w:val="0"/>
        <w:spacing w:line="400" w:lineRule="exact"/>
        <w:widowControl w:val="off"/>
        <w:tabs>
          <w:tab w:val="left" w:pos="1080" w:leader="none"/>
          <w:tab w:val="clear" w:pos="2579" w:leader="none"/>
        </w:tabs>
        <w:rPr>
          <w:rFonts w:hint="eastAsia" w:ascii="宋体" w:hAnsi="宋体" w:eastAsia="宋体" w:cs="仿宋_GB2312"/>
          <w:color w:val="auto"/>
          <w:szCs w:val="21"/>
          <w:highlight w:val="none"/>
          <w:shd w:val="clear" w:color="auto" w:fill="auto"/>
        </w:rPr>
        <w:outlineLvl w:val="9"/>
      </w:pPr>
      <w:r>
        <w:rPr>
          <w:rFonts w:hint="eastAsia" w:ascii="宋体" w:hAnsi="宋体" w:eastAsia="宋体" w:cs="仿宋_GB2312"/>
          <w:color w:val="auto"/>
          <w:szCs w:val="21"/>
          <w:highlight w:val="none"/>
          <w:shd w:val="clear" w:color="auto" w:fill="auto"/>
        </w:rPr>
        <w:t xml:space="preserve">项目进行过程中，乙方应配合甲方做好与地方政府部门的协调工作。</w:t>
      </w:r>
      <w:r/>
    </w:p>
    <w:p>
      <w:pPr>
        <w:numPr>
          <w:ilvl w:val="3"/>
          <w:numId w:val="52"/>
        </w:numPr>
        <w:ind w:left="1080" w:right="-153" w:hanging="540"/>
        <w:keepLines w:val="0"/>
        <w:keepNext w:val="0"/>
        <w:pageBreakBefore w:val="0"/>
        <w:spacing w:line="400" w:lineRule="exact"/>
        <w:widowControl w:val="off"/>
        <w:tabs>
          <w:tab w:val="left" w:pos="1080" w:leader="none"/>
          <w:tab w:val="clear" w:pos="2579" w:leader="none"/>
        </w:tabs>
        <w:rPr>
          <w:rFonts w:hint="eastAsia" w:ascii="宋体" w:hAnsi="宋体" w:eastAsia="宋体" w:cs="仿宋_GB2312"/>
          <w:color w:val="auto"/>
          <w:szCs w:val="21"/>
          <w:highlight w:val="none"/>
          <w:shd w:val="clear" w:color="auto" w:fill="auto"/>
        </w:rPr>
        <w:outlineLvl w:val="9"/>
      </w:pPr>
      <w:r>
        <w:rPr>
          <w:rFonts w:hint="eastAsia" w:ascii="宋体" w:hAnsi="宋体" w:eastAsia="宋体" w:cs="仿宋_GB2312"/>
          <w:color w:val="auto"/>
          <w:szCs w:val="21"/>
          <w:highlight w:val="none"/>
          <w:shd w:val="clear" w:color="auto" w:fill="auto"/>
        </w:rPr>
        <w:t xml:space="preserve">项目进行过程中，乙方应负责组织并承担相关评审费用，并配合甲方做好各项汇报、评审工作，不得拒绝。</w:t>
      </w:r>
      <w:r/>
    </w:p>
    <w:p>
      <w:pPr>
        <w:numPr>
          <w:ilvl w:val="3"/>
          <w:numId w:val="52"/>
        </w:numPr>
        <w:ind w:left="1080" w:right="-153" w:hanging="540"/>
        <w:keepLines w:val="0"/>
        <w:keepNext w:val="0"/>
        <w:pageBreakBefore w:val="0"/>
        <w:spacing w:line="400" w:lineRule="exact"/>
        <w:widowControl w:val="off"/>
        <w:tabs>
          <w:tab w:val="left" w:pos="1080" w:leader="none"/>
          <w:tab w:val="clear" w:pos="2579" w:leader="none"/>
        </w:tabs>
        <w:rPr>
          <w:rFonts w:hint="eastAsia" w:ascii="宋体" w:hAnsi="宋体" w:eastAsia="宋体" w:cs="仿宋_GB2312"/>
          <w:color w:val="auto"/>
          <w:szCs w:val="21"/>
          <w:highlight w:val="none"/>
          <w:shd w:val="clear" w:color="auto" w:fill="auto"/>
        </w:rPr>
        <w:outlineLvl w:val="9"/>
      </w:pPr>
      <w:r/>
      <w:bookmarkStart w:id="17" w:name="_Toc15147"/>
      <w:r>
        <w:rPr>
          <w:rFonts w:hint="eastAsia" w:ascii="宋体" w:hAnsi="宋体" w:eastAsia="宋体" w:cs="仿宋_GB2312"/>
          <w:color w:val="auto"/>
          <w:szCs w:val="21"/>
          <w:highlight w:val="none"/>
          <w:shd w:val="clear" w:color="auto" w:fill="auto"/>
        </w:rPr>
        <w:t xml:space="preserve">乙方承诺无信用失信行为。</w:t>
      </w:r>
      <w:r/>
    </w:p>
    <w:p>
      <w:pPr>
        <w:numPr>
          <w:ilvl w:val="0"/>
          <w:numId w:val="47"/>
        </w:numPr>
        <w:keepLines w:val="0"/>
        <w:keepNext w:val="0"/>
        <w:pageBreakBefore w:val="0"/>
        <w:spacing w:line="400" w:lineRule="exact"/>
        <w:widowControl w:val="off"/>
        <w:tabs>
          <w:tab w:val="left" w:pos="540" w:leader="none"/>
        </w:tabs>
        <w:rPr>
          <w:rFonts w:hint="eastAsia" w:ascii="宋体" w:hAnsi="宋体" w:eastAsia="宋体" w:cs="宋体"/>
          <w:b/>
          <w:bCs/>
          <w:color w:val="auto"/>
          <w:highlight w:val="none"/>
          <w:shd w:val="clear" w:color="auto" w:fill="auto"/>
          <w:lang w:val="en-US" w:eastAsia="zh-CN"/>
        </w:rPr>
        <w:outlineLvl w:val="9"/>
      </w:pPr>
      <w:r>
        <w:rPr>
          <w:rFonts w:hint="eastAsia" w:ascii="宋体" w:hAnsi="宋体" w:eastAsia="宋体" w:cs="宋体"/>
          <w:b/>
          <w:bCs/>
          <w:color w:val="auto"/>
          <w:highlight w:val="none"/>
          <w:shd w:val="clear" w:color="auto" w:fill="auto"/>
          <w:lang w:val="en-US" w:eastAsia="zh-CN"/>
        </w:rPr>
        <w:t xml:space="preserve">人员保证与变更</w:t>
      </w:r>
      <w:bookmarkEnd w:id="17"/>
      <w:r/>
      <w:r/>
    </w:p>
    <w:p>
      <w:pPr>
        <w:numPr>
          <w:ilvl w:val="1"/>
          <w:numId w:val="47"/>
        </w:numPr>
        <w:keepLines w:val="0"/>
        <w:keepNext w:val="0"/>
        <w:pageBreakBefore w:val="0"/>
        <w:spacing w:line="400" w:lineRule="exact"/>
        <w:widowControl w:val="off"/>
        <w:tabs>
          <w:tab w:val="left" w:pos="540" w:leader="none"/>
          <w:tab w:val="left" w:pos="567" w:leader="none"/>
        </w:tabs>
        <w:rPr>
          <w:rFonts w:hint="eastAsia" w:ascii="宋体" w:hAnsi="宋体" w:eastAsia="宋体" w:cs="宋体"/>
          <w:b w:val="0"/>
          <w:bCs/>
          <w:color w:val="auto"/>
          <w:szCs w:val="21"/>
          <w:highlight w:val="none"/>
        </w:rPr>
        <w:outlineLvl w:val="9"/>
      </w:pPr>
      <w:r>
        <w:rPr>
          <w:rFonts w:hint="eastAsia" w:ascii="宋体" w:hAnsi="宋体" w:eastAsia="宋体" w:cs="宋体"/>
          <w:b w:val="0"/>
          <w:bCs/>
          <w:color w:val="auto"/>
          <w:szCs w:val="21"/>
          <w:highlight w:val="none"/>
        </w:rPr>
        <w:t xml:space="preserve">乙方应按磋商响应文件中承诺的人员投入工作，在项目进行过程中应保持人员的稳定。确需调整，应报备后经甲方批准。</w:t>
      </w:r>
      <w:r/>
    </w:p>
    <w:p>
      <w:pPr>
        <w:numPr>
          <w:ilvl w:val="1"/>
          <w:numId w:val="47"/>
        </w:numPr>
        <w:keepLines w:val="0"/>
        <w:keepNext w:val="0"/>
        <w:pageBreakBefore w:val="0"/>
        <w:spacing w:line="400" w:lineRule="exact"/>
        <w:widowControl w:val="off"/>
        <w:tabs>
          <w:tab w:val="left" w:pos="540" w:leader="none"/>
          <w:tab w:val="left" w:pos="567" w:leader="none"/>
        </w:tabs>
        <w:rPr>
          <w:rFonts w:hint="eastAsia" w:ascii="宋体" w:hAnsi="宋体" w:eastAsia="宋体" w:cs="宋体"/>
          <w:b w:val="0"/>
          <w:bCs/>
          <w:color w:val="auto"/>
          <w:szCs w:val="21"/>
          <w:highlight w:val="none"/>
        </w:rPr>
        <w:outlineLvl w:val="9"/>
      </w:pPr>
      <w:r>
        <w:rPr>
          <w:rFonts w:hint="eastAsia" w:ascii="宋体" w:hAnsi="宋体" w:eastAsia="宋体" w:cs="宋体"/>
          <w:b w:val="0"/>
          <w:bCs/>
          <w:color w:val="auto"/>
          <w:szCs w:val="21"/>
          <w:highlight w:val="none"/>
        </w:rPr>
        <w:t xml:space="preserve">如果乙方的人员渎职或不能胜任工作或从事其他违法活动，甲方有权书面要求更换，乙方应立即派出具有同等或以上资历的人员替换。</w:t>
      </w:r>
      <w:r/>
    </w:p>
    <w:p>
      <w:pPr>
        <w:numPr>
          <w:ilvl w:val="1"/>
          <w:numId w:val="47"/>
        </w:numPr>
        <w:keepLines w:val="0"/>
        <w:keepNext w:val="0"/>
        <w:pageBreakBefore w:val="0"/>
        <w:spacing w:line="400" w:lineRule="exact"/>
        <w:widowControl w:val="off"/>
        <w:tabs>
          <w:tab w:val="left" w:pos="540" w:leader="none"/>
          <w:tab w:val="left" w:pos="567" w:leader="none"/>
        </w:tabs>
        <w:rPr>
          <w:rFonts w:hint="eastAsia" w:ascii="宋体" w:hAnsi="宋体" w:eastAsia="宋体" w:cs="宋体"/>
          <w:b w:val="0"/>
          <w:bCs/>
          <w:color w:val="auto"/>
          <w:szCs w:val="21"/>
          <w:highlight w:val="none"/>
        </w:rPr>
        <w:outlineLvl w:val="9"/>
      </w:pPr>
      <w:r>
        <w:rPr>
          <w:rFonts w:hint="eastAsia" w:ascii="宋体" w:hAnsi="宋体" w:eastAsia="宋体" w:cs="宋体"/>
          <w:b w:val="0"/>
          <w:bCs/>
          <w:color w:val="auto"/>
          <w:szCs w:val="21"/>
          <w:highlight w:val="none"/>
        </w:rPr>
        <w:t xml:space="preserve">若乙方的进度没有达到乙方响应文件中承诺的进度计划，甲方有权提出要求增加乙方人员，乙方应立即安排，其费用被认为已包含在合同价格之中。</w:t>
      </w:r>
      <w:r/>
    </w:p>
    <w:p>
      <w:pPr>
        <w:numPr>
          <w:ilvl w:val="1"/>
          <w:numId w:val="47"/>
        </w:numPr>
        <w:spacing w:line="400" w:lineRule="exact"/>
        <w:tabs>
          <w:tab w:val="left" w:pos="540" w:leader="none"/>
          <w:tab w:val="left" w:pos="567" w:leader="none"/>
        </w:tabs>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rPr>
        <w:t xml:space="preserve">项目实施人员在服务期间内出现的工伤及其他意外事故，均由</w:t>
      </w:r>
      <w:r>
        <w:rPr>
          <w:rFonts w:hint="eastAsia" w:ascii="宋体" w:hAnsi="宋体" w:eastAsia="宋体" w:cs="宋体"/>
          <w:b w:val="0"/>
          <w:bCs/>
          <w:color w:val="auto"/>
          <w:szCs w:val="21"/>
          <w:highlight w:val="none"/>
          <w:lang w:val="en-US" w:eastAsia="zh-CN"/>
        </w:rPr>
        <w:t xml:space="preserve">乙方</w:t>
      </w:r>
      <w:r>
        <w:rPr>
          <w:rFonts w:hint="eastAsia" w:ascii="宋体" w:hAnsi="宋体" w:eastAsia="宋体" w:cs="宋体"/>
          <w:b w:val="0"/>
          <w:bCs/>
          <w:color w:val="auto"/>
          <w:szCs w:val="21"/>
          <w:highlight w:val="none"/>
        </w:rPr>
        <w:t xml:space="preserve">自行负责，</w:t>
      </w:r>
      <w:r>
        <w:rPr>
          <w:rFonts w:hint="eastAsia" w:ascii="宋体" w:hAnsi="宋体" w:eastAsia="宋体" w:cs="宋体"/>
          <w:b w:val="0"/>
          <w:bCs/>
          <w:color w:val="auto"/>
          <w:szCs w:val="21"/>
          <w:highlight w:val="none"/>
          <w:lang w:val="en-US" w:eastAsia="zh-CN"/>
        </w:rPr>
        <w:t xml:space="preserve">甲方</w:t>
      </w:r>
      <w:r>
        <w:rPr>
          <w:rFonts w:hint="eastAsia" w:ascii="宋体" w:hAnsi="宋体" w:eastAsia="宋体" w:cs="宋体"/>
          <w:b w:val="0"/>
          <w:bCs/>
          <w:color w:val="auto"/>
          <w:szCs w:val="21"/>
          <w:highlight w:val="none"/>
        </w:rPr>
        <w:t xml:space="preserve">不承担任何责任。</w:t>
      </w:r>
      <w:r/>
    </w:p>
    <w:p>
      <w:pPr>
        <w:numPr>
          <w:ilvl w:val="0"/>
          <w:numId w:val="47"/>
        </w:numPr>
        <w:spacing w:line="400" w:lineRule="exact"/>
        <w:tabs>
          <w:tab w:val="left" w:pos="540" w:leader="none"/>
        </w:tabs>
        <w:rPr>
          <w:rFonts w:hint="eastAsia" w:ascii="宋体" w:hAnsi="宋体" w:cs="宋体"/>
          <w:b/>
          <w:bCs/>
          <w:color w:val="auto"/>
          <w:highlight w:val="none"/>
          <w:shd w:val="clear" w:color="auto" w:fill="auto"/>
          <w:lang w:val="en-US" w:eastAsia="zh-CN"/>
        </w:rPr>
      </w:pPr>
      <w:r>
        <w:rPr>
          <w:rFonts w:hint="eastAsia" w:ascii="宋体" w:hAnsi="宋体" w:cs="宋体"/>
          <w:b/>
          <w:bCs/>
          <w:color w:val="auto"/>
          <w:highlight w:val="none"/>
          <w:shd w:val="clear" w:color="auto" w:fill="auto"/>
          <w:lang w:val="en-US" w:eastAsia="zh-CN"/>
        </w:rPr>
        <w:t xml:space="preserve">知识产权要求</w:t>
      </w:r>
      <w:r/>
    </w:p>
    <w:p>
      <w:pPr>
        <w:numPr>
          <w:ilvl w:val="1"/>
          <w:numId w:val="47"/>
        </w:numPr>
        <w:spacing w:line="400" w:lineRule="exact"/>
        <w:tabs>
          <w:tab w:val="left" w:pos="540" w:leader="none"/>
          <w:tab w:val="left" w:pos="567" w:leader="none"/>
        </w:tabs>
        <w:rPr>
          <w:rFonts w:hint="eastAsia" w:ascii="宋体" w:hAnsi="宋体" w:cs="仿宋_GB2312"/>
          <w:color w:val="auto"/>
          <w:szCs w:val="21"/>
          <w:highlight w:val="none"/>
          <w:shd w:val="clear" w:color="auto" w:fill="auto"/>
          <w:lang w:val="en-US" w:eastAsia="zh-CN"/>
        </w:rPr>
      </w:pPr>
      <w:r>
        <w:rPr>
          <w:rFonts w:hint="eastAsia" w:ascii="宋体" w:hAnsi="宋体" w:cs="仿宋_GB2312"/>
          <w:color w:val="auto"/>
          <w:szCs w:val="21"/>
          <w:highlight w:val="none"/>
          <w:shd w:val="clear" w:color="auto" w:fill="auto"/>
          <w:lang w:val="en-US" w:eastAsia="zh-CN"/>
        </w:rPr>
        <w:t xml:space="preserve">因本项目履行所产生的各项成果及因本项目履行所形成或获得的信息、资料等所产生的各项成果（包括但不限于本服务项目涉及的相关研</w:t>
      </w:r>
      <w:r>
        <w:rPr>
          <w:rFonts w:hint="eastAsia" w:ascii="宋体" w:hAnsi="宋体" w:cs="仿宋_GB2312"/>
          <w:color w:val="auto"/>
          <w:szCs w:val="21"/>
          <w:highlight w:val="none"/>
          <w:shd w:val="clear" w:color="auto" w:fill="auto"/>
          <w:lang w:val="en-US" w:eastAsia="zh-CN"/>
        </w:rPr>
        <w:t xml:space="preserve">究成果等）其知识产权均归甲方单方所有。未经甲方事先书面许可，乙方及其人员不得为本项目之外的任何目的、以任何形式自行使用、擅自许可第三方使用或向第三方透露部分或全部信息，存在前述任意情况时均视为乙方侵权并应承担各项法律责任。同时，乙方保证在履行本项目过程中所使用、提供的各项物品、服务、成果及其任何部分不受到第三方关于侵犯专利权、商标权或著作权等知识产权及其他权利的指控。任何第三方如果提出侵权指控，乙方应承担可能发生的一切法律责任和费用，并承担甲方、相关第三方及项目因此产生的费用增项、损失等各项费用和法律责任。</w:t>
      </w:r>
      <w:r/>
    </w:p>
    <w:p>
      <w:pPr>
        <w:numPr>
          <w:ilvl w:val="0"/>
          <w:numId w:val="47"/>
        </w:numPr>
        <w:spacing w:line="400" w:lineRule="exact"/>
        <w:tabs>
          <w:tab w:val="left" w:pos="540" w:leader="none"/>
        </w:tabs>
        <w:rPr>
          <w:rFonts w:hint="eastAsia" w:cs="仿宋_GB2312" w:asciiTheme="minorEastAsia" w:hAnsiTheme="minorEastAsia" w:eastAsiaTheme="minorEastAsia"/>
          <w:b/>
          <w:color w:val="auto"/>
          <w:szCs w:val="21"/>
          <w:highlight w:val="none"/>
          <w:shd w:val="clear" w:color="auto" w:fill="auto"/>
        </w:rPr>
      </w:pPr>
      <w:r>
        <w:rPr>
          <w:rFonts w:hint="eastAsia" w:cs="仿宋_GB2312" w:asciiTheme="minorEastAsia" w:hAnsiTheme="minorEastAsia" w:eastAsiaTheme="minorEastAsia"/>
          <w:b/>
          <w:color w:val="auto"/>
          <w:szCs w:val="21"/>
          <w:highlight w:val="none"/>
          <w:shd w:val="clear" w:color="auto" w:fill="auto"/>
        </w:rPr>
        <w:t xml:space="preserve">保密要求</w:t>
      </w:r>
      <w:r/>
    </w:p>
    <w:p>
      <w:pPr>
        <w:numPr>
          <w:ilvl w:val="1"/>
          <w:numId w:val="47"/>
        </w:numPr>
        <w:spacing w:line="400" w:lineRule="exact"/>
        <w:tabs>
          <w:tab w:val="left" w:pos="567" w:leader="none"/>
        </w:tabs>
        <w:rPr>
          <w:rFonts w:hint="eastAsia" w:asciiTheme="minorEastAsia" w:hAnsiTheme="minorEastAsia" w:eastAsiaTheme="minorEastAsia"/>
          <w:bCs/>
          <w:color w:val="auto"/>
          <w:szCs w:val="21"/>
          <w:highlight w:val="none"/>
          <w:shd w:val="clear" w:color="auto" w:fill="auto"/>
        </w:rPr>
      </w:pPr>
      <w:r>
        <w:rPr>
          <w:rFonts w:hint="eastAsia" w:asciiTheme="minorEastAsia" w:hAnsiTheme="minorEastAsia" w:eastAsiaTheme="minorEastAsia"/>
          <w:color w:val="auto"/>
          <w:szCs w:val="21"/>
          <w:highlight w:val="none"/>
          <w:shd w:val="clear" w:color="auto" w:fill="auto"/>
        </w:rPr>
        <w:t xml:space="preserve">乙方</w:t>
      </w:r>
      <w:r>
        <w:rPr>
          <w:rFonts w:hint="eastAsia" w:asciiTheme="minorEastAsia" w:hAnsiTheme="minorEastAsia" w:eastAsiaTheme="minorEastAsia"/>
          <w:bCs/>
          <w:color w:val="auto"/>
          <w:szCs w:val="21"/>
          <w:highlight w:val="none"/>
          <w:shd w:val="clear" w:color="auto" w:fill="auto"/>
        </w:rPr>
        <w:t xml:space="preserve">及其工作人员除了应当遵守本合同有关资料及项目成果归属的规定外，还应当对项目实施过程中接触的所有资料及工作成果保密，未经甲方书面同意，乙方不得向甲方指定人员以外的其他单位和人员泄露上述资料及所涉成果或用于本合同以外的其他目的。</w:t>
      </w:r>
      <w:r/>
    </w:p>
    <w:p>
      <w:pPr>
        <w:numPr>
          <w:ilvl w:val="1"/>
          <w:numId w:val="47"/>
        </w:numPr>
        <w:spacing w:line="400" w:lineRule="exact"/>
        <w:tabs>
          <w:tab w:val="left" w:pos="567" w:leader="none"/>
        </w:tabs>
        <w:rPr>
          <w:rFonts w:hint="eastAsia" w:asciiTheme="minorEastAsia" w:hAnsiTheme="minorEastAsia" w:eastAsiaTheme="minorEastAsia"/>
          <w:bCs/>
          <w:color w:val="auto"/>
          <w:szCs w:val="21"/>
          <w:highlight w:val="none"/>
          <w:shd w:val="clear" w:color="auto" w:fill="auto"/>
        </w:rPr>
      </w:pPr>
      <w:r>
        <w:rPr>
          <w:rFonts w:hint="eastAsia" w:cs="仿宋_GB2312" w:asciiTheme="minorEastAsia" w:hAnsiTheme="minorEastAsia" w:eastAsiaTheme="minorEastAsia"/>
          <w:color w:val="auto"/>
          <w:szCs w:val="21"/>
          <w:highlight w:val="none"/>
          <w:shd w:val="clear" w:color="auto" w:fill="auto"/>
        </w:rPr>
        <w:t xml:space="preserve">保密义务至甲方将相关文件、信息、资料以及所涉成果正式向社会公开之日或甲方书面解除乙方的保密义务之日起终止。保密义务的规定在本合同终止后仍然继续有效，且不受本合同解除、终止或无效的影响。</w:t>
      </w:r>
      <w:r/>
    </w:p>
    <w:p>
      <w:pPr>
        <w:numPr>
          <w:ilvl w:val="1"/>
          <w:numId w:val="47"/>
        </w:numPr>
        <w:spacing w:line="400" w:lineRule="exact"/>
        <w:tabs>
          <w:tab w:val="left" w:pos="567" w:leader="none"/>
        </w:tabs>
        <w:rPr>
          <w:rFonts w:hint="eastAsia" w:asciiTheme="minorEastAsia" w:hAnsiTheme="minorEastAsia" w:eastAsiaTheme="minorEastAsia"/>
          <w:color w:val="auto"/>
          <w:szCs w:val="21"/>
          <w:highlight w:val="none"/>
          <w:shd w:val="clear" w:color="auto" w:fill="auto"/>
        </w:rPr>
      </w:pPr>
      <w:r>
        <w:rPr>
          <w:rFonts w:hint="eastAsia" w:asciiTheme="minorEastAsia" w:hAnsiTheme="minorEastAsia" w:eastAsiaTheme="minorEastAsia"/>
          <w:bCs/>
          <w:color w:val="auto"/>
          <w:szCs w:val="21"/>
          <w:highlight w:val="none"/>
          <w:shd w:val="clear" w:color="auto" w:fill="auto"/>
        </w:rPr>
        <w:t xml:space="preserve">乙方及其</w:t>
      </w:r>
      <w:r>
        <w:rPr>
          <w:rFonts w:hint="eastAsia" w:cs="仿宋_GB2312" w:asciiTheme="minorEastAsia" w:hAnsiTheme="minorEastAsia" w:eastAsiaTheme="minorEastAsia"/>
          <w:color w:val="auto"/>
          <w:szCs w:val="21"/>
          <w:highlight w:val="none"/>
          <w:shd w:val="clear" w:color="auto" w:fill="auto"/>
        </w:rPr>
        <w:t xml:space="preserve">工作人员违反保密规定或者法律及本合同规定的其他禁止性规定，所引起的一切后果及法律责任由乙方承担，且应承担合同总价款30%的违约金并赔偿甲方全部损失。</w:t>
      </w:r>
      <w:r/>
    </w:p>
    <w:p>
      <w:pPr>
        <w:numPr>
          <w:ilvl w:val="0"/>
          <w:numId w:val="47"/>
        </w:numPr>
        <w:spacing w:line="400" w:lineRule="exact"/>
        <w:tabs>
          <w:tab w:val="left" w:pos="540" w:leader="none"/>
        </w:tabs>
        <w:rPr>
          <w:rFonts w:hint="eastAsia" w:ascii="宋体" w:hAnsi="宋体" w:eastAsia="宋体" w:cs="宋体"/>
          <w:b/>
          <w:bCs/>
          <w:color w:val="auto"/>
          <w:sz w:val="21"/>
          <w:szCs w:val="21"/>
          <w:highlight w:val="none"/>
          <w:shd w:val="clear" w:color="auto" w:fill="auto"/>
        </w:rPr>
      </w:pPr>
      <w:r>
        <w:rPr>
          <w:rFonts w:hint="eastAsia" w:ascii="宋体" w:hAnsi="宋体" w:cs="宋体"/>
          <w:b/>
          <w:bCs/>
          <w:color w:val="auto"/>
          <w:sz w:val="21"/>
          <w:szCs w:val="21"/>
          <w:highlight w:val="none"/>
          <w:shd w:val="clear" w:color="auto" w:fill="auto"/>
          <w:lang w:val="en-US" w:eastAsia="zh-CN"/>
        </w:rPr>
        <w:t xml:space="preserve">履约验收</w:t>
      </w:r>
      <w:r>
        <w:rPr>
          <w:rFonts w:hint="eastAsia" w:ascii="宋体" w:hAnsi="宋体" w:eastAsia="宋体" w:cs="宋体"/>
          <w:b/>
          <w:bCs/>
          <w:color w:val="auto"/>
          <w:sz w:val="21"/>
          <w:szCs w:val="21"/>
          <w:highlight w:val="none"/>
          <w:shd w:val="clear" w:color="auto" w:fill="auto"/>
        </w:rPr>
        <w:t xml:space="preserve">要求</w:t>
      </w:r>
      <w:r/>
    </w:p>
    <w:p>
      <w:pPr>
        <w:numPr>
          <w:ilvl w:val="1"/>
          <w:numId w:val="47"/>
        </w:numPr>
        <w:spacing w:line="400" w:lineRule="exact"/>
        <w:tabs>
          <w:tab w:val="left" w:pos="567" w:leader="none"/>
        </w:tabs>
        <w:rPr>
          <w:rFonts w:hint="eastAsia" w:asciiTheme="minorEastAsia" w:hAnsiTheme="minorEastAsia" w:eastAsiaTheme="minorEastAsia"/>
          <w:bCs/>
          <w:color w:val="auto"/>
          <w:szCs w:val="21"/>
          <w:highlight w:val="none"/>
          <w:shd w:val="clear" w:color="auto" w:fill="auto"/>
        </w:rPr>
      </w:pPr>
      <w:r>
        <w:rPr>
          <w:rFonts w:hint="eastAsia" w:asciiTheme="minorEastAsia" w:hAnsiTheme="minorEastAsia" w:eastAsiaTheme="minorEastAsia"/>
          <w:bCs/>
          <w:color w:val="auto"/>
          <w:szCs w:val="21"/>
          <w:highlight w:val="none"/>
          <w:shd w:val="clear" w:color="auto" w:fill="auto"/>
        </w:rPr>
        <w:t xml:space="preserve">验收标准：</w:t>
      </w:r>
      <w:r>
        <w:rPr>
          <w:rFonts w:hint="eastAsia" w:asciiTheme="minorEastAsia" w:hAnsiTheme="minorEastAsia" w:eastAsiaTheme="minorEastAsia"/>
          <w:bCs/>
          <w:color w:val="auto"/>
          <w:szCs w:val="21"/>
          <w:highlight w:val="none"/>
          <w:shd w:val="clear" w:color="auto" w:fill="auto"/>
          <w:lang w:val="en-US" w:eastAsia="zh-CN"/>
        </w:rPr>
        <w:t xml:space="preserve">甲方</w:t>
      </w:r>
      <w:r>
        <w:rPr>
          <w:rFonts w:hint="eastAsia" w:asciiTheme="minorEastAsia" w:hAnsiTheme="minorEastAsia" w:eastAsiaTheme="minorEastAsia"/>
          <w:bCs/>
          <w:color w:val="auto"/>
          <w:szCs w:val="21"/>
          <w:highlight w:val="none"/>
          <w:shd w:val="clear" w:color="auto" w:fill="auto"/>
        </w:rPr>
        <w:t xml:space="preserve">按照采购文件的服务内容及技术要求，根据成交单位提供运维年度报告（另合同期完毕后，需提供合同期内各类运维服务等相关原始工作记录）进行验收。</w:t>
      </w:r>
      <w:r/>
    </w:p>
    <w:p>
      <w:pPr>
        <w:numPr>
          <w:ilvl w:val="1"/>
          <w:numId w:val="47"/>
        </w:numPr>
        <w:spacing w:line="400" w:lineRule="exact"/>
        <w:tabs>
          <w:tab w:val="left" w:pos="567" w:leader="none"/>
        </w:tabs>
        <w:rPr>
          <w:rFonts w:hint="eastAsia" w:asciiTheme="minorEastAsia" w:hAnsiTheme="minorEastAsia" w:eastAsiaTheme="minorEastAsia"/>
          <w:bCs/>
          <w:color w:val="auto"/>
          <w:szCs w:val="21"/>
          <w:highlight w:val="none"/>
          <w:shd w:val="clear" w:color="auto" w:fill="auto"/>
        </w:rPr>
      </w:pPr>
      <w:r>
        <w:rPr>
          <w:rFonts w:hint="eastAsia" w:asciiTheme="minorEastAsia" w:hAnsiTheme="minorEastAsia" w:eastAsiaTheme="minorEastAsia"/>
          <w:bCs/>
          <w:color w:val="auto"/>
          <w:szCs w:val="21"/>
          <w:highlight w:val="none"/>
          <w:shd w:val="clear" w:color="auto" w:fill="auto"/>
        </w:rPr>
        <w:t xml:space="preserve">验收方式：由</w:t>
      </w:r>
      <w:r>
        <w:rPr>
          <w:rFonts w:hint="eastAsia" w:asciiTheme="minorEastAsia" w:hAnsiTheme="minorEastAsia" w:eastAsiaTheme="minorEastAsia"/>
          <w:bCs/>
          <w:color w:val="auto"/>
          <w:szCs w:val="21"/>
          <w:highlight w:val="none"/>
          <w:shd w:val="clear" w:color="auto" w:fill="auto"/>
          <w:lang w:eastAsia="zh-CN"/>
        </w:rPr>
        <w:t xml:space="preserve">采购人</w:t>
      </w:r>
      <w:r>
        <w:rPr>
          <w:rFonts w:hint="eastAsia" w:asciiTheme="minorEastAsia" w:hAnsiTheme="minorEastAsia" w:eastAsiaTheme="minorEastAsia"/>
          <w:bCs/>
          <w:color w:val="auto"/>
          <w:szCs w:val="21"/>
          <w:highlight w:val="none"/>
          <w:shd w:val="clear" w:color="auto" w:fill="auto"/>
        </w:rPr>
        <w:t xml:space="preserve">组织验收。</w:t>
      </w:r>
      <w:r/>
    </w:p>
    <w:p>
      <w:pPr>
        <w:numPr>
          <w:ilvl w:val="0"/>
          <w:numId w:val="47"/>
        </w:numPr>
        <w:spacing w:line="400" w:lineRule="exact"/>
        <w:tabs>
          <w:tab w:val="left" w:pos="540" w:leader="none"/>
        </w:tabs>
        <w:rPr>
          <w:rFonts w:hint="eastAsia" w:ascii="宋体" w:hAnsi="宋体" w:cs="仿宋_GB2312"/>
          <w:b/>
          <w:color w:val="auto"/>
          <w:szCs w:val="21"/>
          <w:highlight w:val="none"/>
          <w:shd w:val="clear" w:color="auto" w:fill="auto"/>
        </w:rPr>
      </w:pPr>
      <w:r>
        <w:rPr>
          <w:rFonts w:hint="eastAsia" w:ascii="宋体" w:hAnsi="宋体" w:cs="仿宋_GB2312"/>
          <w:b/>
          <w:color w:val="auto"/>
          <w:szCs w:val="21"/>
          <w:highlight w:val="none"/>
          <w:shd w:val="clear" w:color="auto" w:fill="auto"/>
        </w:rPr>
        <w:t xml:space="preserve">违约责任及违约金支付</w:t>
      </w:r>
      <w:r/>
    </w:p>
    <w:p>
      <w:pPr>
        <w:numPr>
          <w:ilvl w:val="1"/>
          <w:numId w:val="47"/>
        </w:numPr>
        <w:spacing w:line="400" w:lineRule="exact"/>
        <w:rPr>
          <w:rFonts w:hint="eastAsia" w:asciiTheme="minorEastAsia" w:hAnsiTheme="minorEastAsia" w:eastAsiaTheme="minorEastAsia"/>
          <w:bCs/>
          <w:color w:val="auto"/>
          <w:szCs w:val="21"/>
          <w:highlight w:val="none"/>
          <w:shd w:val="clear" w:color="auto" w:fill="auto"/>
        </w:rPr>
      </w:pPr>
      <w:r>
        <w:rPr>
          <w:rFonts w:hint="eastAsia" w:asciiTheme="minorEastAsia" w:hAnsiTheme="minorEastAsia" w:eastAsiaTheme="minorEastAsia"/>
          <w:bCs/>
          <w:color w:val="auto"/>
          <w:szCs w:val="21"/>
          <w:highlight w:val="none"/>
          <w:shd w:val="clear" w:color="auto" w:fill="auto"/>
        </w:rPr>
        <w:t xml:space="preserve">乙方违约责任及违约金支付：</w:t>
      </w:r>
      <w:r/>
    </w:p>
    <w:p>
      <w:pPr>
        <w:numPr>
          <w:ilvl w:val="0"/>
          <w:numId w:val="54"/>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乙方不能</w:t>
      </w:r>
      <w:r>
        <w:rPr>
          <w:rFonts w:hint="eastAsia" w:ascii="宋体" w:hAnsi="宋体" w:cs="仿宋_GB2312"/>
          <w:color w:val="auto"/>
          <w:szCs w:val="21"/>
          <w:highlight w:val="none"/>
          <w:shd w:val="clear" w:color="auto" w:fill="auto"/>
          <w:lang w:val="en-US" w:eastAsia="zh-CN"/>
        </w:rPr>
        <w:t xml:space="preserve">按期提供运维服务或不能按期提供项目报告</w:t>
      </w:r>
      <w:r>
        <w:rPr>
          <w:rFonts w:hint="eastAsia" w:ascii="宋体" w:hAnsi="宋体"/>
          <w:color w:val="auto"/>
          <w:szCs w:val="21"/>
          <w:highlight w:val="none"/>
          <w:shd w:val="clear" w:color="auto" w:fill="auto"/>
          <w:lang w:val="en-US" w:eastAsia="zh-CN"/>
        </w:rPr>
        <w:t xml:space="preserve">的</w:t>
      </w:r>
      <w:r>
        <w:rPr>
          <w:rFonts w:hint="eastAsia" w:ascii="宋体" w:hAnsi="宋体"/>
          <w:color w:val="auto"/>
          <w:szCs w:val="21"/>
          <w:highlight w:val="none"/>
          <w:shd w:val="clear" w:color="auto" w:fill="auto"/>
        </w:rPr>
        <w:t xml:space="preserve">，</w:t>
      </w:r>
      <w:r>
        <w:rPr>
          <w:rFonts w:hint="eastAsia" w:ascii="宋体" w:hAnsi="宋体"/>
          <w:color w:val="auto"/>
          <w:szCs w:val="21"/>
          <w:highlight w:val="none"/>
          <w:shd w:val="clear" w:color="auto" w:fill="auto"/>
          <w:lang w:val="en-US" w:eastAsia="zh-CN"/>
        </w:rPr>
        <w:t xml:space="preserve">甲方不予支付相应合同费用，且乙方</w:t>
      </w:r>
      <w:r>
        <w:rPr>
          <w:rFonts w:hint="eastAsia" w:ascii="宋体" w:hAnsi="宋体"/>
          <w:color w:val="auto"/>
          <w:szCs w:val="21"/>
          <w:highlight w:val="none"/>
          <w:shd w:val="clear" w:color="auto" w:fill="auto"/>
        </w:rPr>
        <w:t xml:space="preserve">应向甲方偿付合同总价款5%的违约金，</w:t>
      </w:r>
      <w:r>
        <w:rPr>
          <w:rFonts w:hint="eastAsia" w:ascii="宋体" w:hAnsi="宋体" w:cs="仿宋_GB2312"/>
          <w:color w:val="auto"/>
          <w:szCs w:val="21"/>
          <w:highlight w:val="none"/>
          <w:shd w:val="clear" w:color="auto" w:fill="auto"/>
        </w:rPr>
        <w:t xml:space="preserve">违约金不足以补偿损失的甲方有权要求乙方补足</w:t>
      </w:r>
      <w:r>
        <w:rPr>
          <w:rFonts w:hint="eastAsia" w:ascii="宋体" w:hAnsi="宋体" w:cs="仿宋_GB2312"/>
          <w:color w:val="auto"/>
          <w:szCs w:val="21"/>
          <w:highlight w:val="none"/>
          <w:shd w:val="clear" w:color="auto" w:fill="auto"/>
          <w:lang w:eastAsia="zh-CN"/>
        </w:rPr>
        <w:t xml:space="preserve">，</w:t>
      </w:r>
      <w:r>
        <w:rPr>
          <w:rFonts w:hint="eastAsia" w:ascii="宋体" w:hAnsi="宋体" w:cs="仿宋_GB2312"/>
          <w:color w:val="auto"/>
          <w:szCs w:val="21"/>
          <w:highlight w:val="none"/>
          <w:shd w:val="clear" w:color="auto" w:fill="auto"/>
          <w:lang w:val="en-US" w:eastAsia="zh-CN"/>
        </w:rPr>
        <w:t xml:space="preserve">且甲方有权解除合同</w:t>
      </w:r>
      <w:r>
        <w:rPr>
          <w:rFonts w:hint="eastAsia" w:ascii="宋体" w:hAnsi="宋体" w:cs="仿宋_GB2312"/>
          <w:color w:val="auto"/>
          <w:szCs w:val="21"/>
          <w:highlight w:val="none"/>
          <w:shd w:val="clear" w:color="auto" w:fill="auto"/>
        </w:rPr>
        <w:t xml:space="preserve">。</w:t>
      </w:r>
      <w:r/>
    </w:p>
    <w:p>
      <w:pPr>
        <w:numPr>
          <w:ilvl w:val="0"/>
          <w:numId w:val="54"/>
        </w:numPr>
        <w:ind w:left="1080" w:right="-153" w:hanging="540"/>
        <w:spacing w:line="400" w:lineRule="exact"/>
        <w:tabs>
          <w:tab w:val="left" w:pos="1080" w:leader="none"/>
          <w:tab w:val="clear" w:pos="2579" w:leader="none"/>
        </w:tabs>
        <w:rPr>
          <w:rFonts w:ascii="宋体" w:hAnsi="宋体" w:cs="宋体"/>
          <w:color w:val="auto"/>
          <w:szCs w:val="21"/>
          <w:highlight w:val="none"/>
        </w:rPr>
      </w:pPr>
      <w:r>
        <w:rPr>
          <w:rFonts w:hint="eastAsia" w:ascii="宋体" w:hAnsi="宋体" w:cs="宋体"/>
          <w:color w:val="auto"/>
          <w:szCs w:val="21"/>
          <w:highlight w:val="none"/>
        </w:rPr>
        <w:t xml:space="preserve">乙方在</w:t>
      </w:r>
      <w:r>
        <w:rPr>
          <w:rFonts w:hint="eastAsia" w:ascii="宋体" w:hAnsi="宋体" w:eastAsia="宋体" w:cs="仿宋_GB2312"/>
          <w:color w:val="auto"/>
          <w:szCs w:val="21"/>
          <w:highlight w:val="none"/>
          <w:shd w:val="clear" w:color="auto" w:fill="auto"/>
        </w:rPr>
        <w:t xml:space="preserve">项目</w:t>
      </w:r>
      <w:r>
        <w:rPr>
          <w:rFonts w:hint="eastAsia" w:ascii="宋体" w:hAnsi="宋体" w:cs="宋体"/>
          <w:color w:val="auto"/>
          <w:szCs w:val="21"/>
          <w:highlight w:val="none"/>
        </w:rPr>
        <w:t xml:space="preserve">实施过程中有编造数据、弄虚作假或其他影响工作客观性、公正性行为的，或在项目实施过程中存在廉政问题的，甲方有权拒绝支付剩余合同价款、终止合同并提请有关部门追究行政或法律责任。给甲方造成损失的，还应赔偿甲方一切损失。</w:t>
      </w:r>
      <w:r/>
    </w:p>
    <w:p>
      <w:pPr>
        <w:numPr>
          <w:ilvl w:val="0"/>
          <w:numId w:val="54"/>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乙方</w:t>
      </w:r>
      <w:r>
        <w:rPr>
          <w:rFonts w:hint="eastAsia" w:ascii="宋体" w:hAnsi="宋体" w:cs="仿宋_GB2312"/>
          <w:color w:val="auto"/>
          <w:szCs w:val="21"/>
          <w:highlight w:val="none"/>
          <w:shd w:val="clear" w:color="auto" w:fill="auto"/>
          <w:lang w:val="en-US" w:eastAsia="zh-CN"/>
        </w:rPr>
        <w:t xml:space="preserve">不能按期通过项目验收的</w:t>
      </w:r>
      <w:r>
        <w:rPr>
          <w:rFonts w:hint="eastAsia" w:ascii="宋体" w:hAnsi="宋体"/>
          <w:color w:val="auto"/>
          <w:szCs w:val="21"/>
          <w:highlight w:val="none"/>
          <w:shd w:val="clear" w:color="auto" w:fill="auto"/>
        </w:rPr>
        <w:t xml:space="preserve">，</w:t>
      </w:r>
      <w:r>
        <w:rPr>
          <w:rFonts w:hint="eastAsia" w:ascii="宋体" w:hAnsi="宋体"/>
          <w:color w:val="auto"/>
          <w:szCs w:val="21"/>
          <w:highlight w:val="none"/>
          <w:shd w:val="clear" w:color="auto" w:fill="auto"/>
          <w:lang w:val="en-US" w:eastAsia="zh-CN"/>
        </w:rPr>
        <w:t xml:space="preserve">甲方不予支付相应合同费用，且乙方</w:t>
      </w:r>
      <w:r>
        <w:rPr>
          <w:rFonts w:hint="eastAsia" w:ascii="宋体" w:hAnsi="宋体"/>
          <w:color w:val="auto"/>
          <w:szCs w:val="21"/>
          <w:highlight w:val="none"/>
          <w:shd w:val="clear" w:color="auto" w:fill="auto"/>
        </w:rPr>
        <w:t xml:space="preserve">应向甲方偿付合同总价款5%的违约金，</w:t>
      </w:r>
      <w:r>
        <w:rPr>
          <w:rFonts w:hint="eastAsia" w:ascii="宋体" w:hAnsi="宋体" w:cs="仿宋_GB2312"/>
          <w:color w:val="auto"/>
          <w:szCs w:val="21"/>
          <w:highlight w:val="none"/>
          <w:shd w:val="clear" w:color="auto" w:fill="auto"/>
        </w:rPr>
        <w:t xml:space="preserve">违约金不足以补偿损失的甲方有权要求乙方补足</w:t>
      </w:r>
      <w:r>
        <w:rPr>
          <w:rFonts w:hint="eastAsia" w:ascii="宋体" w:hAnsi="宋体" w:cs="仿宋_GB2312"/>
          <w:color w:val="auto"/>
          <w:szCs w:val="21"/>
          <w:highlight w:val="none"/>
          <w:shd w:val="clear" w:color="auto" w:fill="auto"/>
          <w:lang w:eastAsia="zh-CN"/>
        </w:rPr>
        <w:t xml:space="preserve">，</w:t>
      </w:r>
      <w:r>
        <w:rPr>
          <w:rFonts w:hint="eastAsia" w:ascii="宋体" w:hAnsi="宋体" w:cs="仿宋_GB2312"/>
          <w:color w:val="auto"/>
          <w:szCs w:val="21"/>
          <w:highlight w:val="none"/>
          <w:shd w:val="clear" w:color="auto" w:fill="auto"/>
          <w:lang w:val="en-US" w:eastAsia="zh-CN"/>
        </w:rPr>
        <w:t xml:space="preserve">且甲方有权解除合同</w:t>
      </w:r>
      <w:r>
        <w:rPr>
          <w:rFonts w:hint="eastAsia" w:ascii="宋体" w:hAnsi="宋体" w:cs="仿宋_GB2312"/>
          <w:color w:val="auto"/>
          <w:szCs w:val="21"/>
          <w:highlight w:val="none"/>
          <w:shd w:val="clear" w:color="auto" w:fill="auto"/>
        </w:rPr>
        <w:t xml:space="preserve">。</w:t>
      </w:r>
      <w:r/>
    </w:p>
    <w:p>
      <w:pPr>
        <w:numPr>
          <w:ilvl w:val="0"/>
          <w:numId w:val="47"/>
        </w:numPr>
        <w:spacing w:line="400" w:lineRule="exact"/>
        <w:tabs>
          <w:tab w:val="left" w:pos="540" w:leader="none"/>
        </w:tabs>
        <w:rPr>
          <w:rFonts w:hint="eastAsia" w:ascii="宋体" w:hAnsi="宋体" w:cs="仿宋_GB2312"/>
          <w:b/>
          <w:color w:val="auto"/>
          <w:szCs w:val="21"/>
          <w:highlight w:val="none"/>
          <w:shd w:val="clear" w:color="auto" w:fill="auto"/>
        </w:rPr>
      </w:pPr>
      <w:r>
        <w:rPr>
          <w:rFonts w:hint="eastAsia" w:ascii="宋体" w:hAnsi="宋体" w:cs="仿宋_GB2312"/>
          <w:b/>
          <w:color w:val="auto"/>
          <w:szCs w:val="21"/>
          <w:highlight w:val="none"/>
          <w:shd w:val="clear" w:color="auto" w:fill="auto"/>
        </w:rPr>
        <w:t xml:space="preserve">不可抗力</w:t>
      </w:r>
      <w:r/>
    </w:p>
    <w:p>
      <w:pPr>
        <w:numPr>
          <w:ilvl w:val="1"/>
          <w:numId w:val="47"/>
        </w:numPr>
        <w:spacing w:line="400" w:lineRule="exact"/>
        <w:tabs>
          <w:tab w:val="left" w:pos="540" w:leader="none"/>
          <w:tab w:val="left" w:pos="567" w:leader="none"/>
        </w:tabs>
        <w:rPr>
          <w:rFonts w:hint="eastAsia" w:ascii="宋体" w:hAnsi="宋体" w:cs="仿宋_GB2312"/>
          <w:color w:val="auto"/>
          <w:szCs w:val="21"/>
          <w:highlight w:val="none"/>
          <w:shd w:val="clear" w:color="auto" w:fill="auto"/>
        </w:rPr>
      </w:pPr>
      <w:r>
        <w:rPr>
          <w:rFonts w:hint="eastAsia" w:ascii="宋体" w:hAnsi="宋体"/>
          <w:color w:val="auto"/>
          <w:szCs w:val="21"/>
          <w:highlight w:val="none"/>
          <w:shd w:val="clear" w:color="auto" w:fill="auto"/>
        </w:rPr>
        <w:t xml:space="preserve">因不</w:t>
      </w:r>
      <w:r>
        <w:rPr>
          <w:rFonts w:hint="eastAsia" w:ascii="宋体" w:hAnsi="宋体" w:cs="仿宋_GB2312"/>
          <w:color w:val="auto"/>
          <w:szCs w:val="21"/>
          <w:highlight w:val="none"/>
          <w:shd w:val="clear" w:color="auto" w:fill="auto"/>
        </w:rPr>
        <w:t xml:space="preserve">可抗力不能履行合同的，根据不可抗力的影响，部分或者全部免除责任。但合同一方延迟履行后发生不可抗力的，不能免除责任。</w:t>
      </w:r>
      <w:r/>
    </w:p>
    <w:p>
      <w:pPr>
        <w:numPr>
          <w:ilvl w:val="1"/>
          <w:numId w:val="47"/>
        </w:numPr>
        <w:spacing w:line="400" w:lineRule="exact"/>
        <w:tabs>
          <w:tab w:val="left" w:pos="540" w:leader="none"/>
          <w:tab w:val="left" w:pos="567" w:leader="none"/>
        </w:tabs>
        <w:rPr>
          <w:rFonts w:hint="eastAsia" w:ascii="宋体" w:hAnsi="宋体" w:cs="仿宋_GB2312"/>
          <w:color w:val="auto"/>
          <w:szCs w:val="21"/>
          <w:highlight w:val="none"/>
          <w:shd w:val="clear" w:color="auto" w:fill="auto"/>
        </w:rPr>
      </w:pPr>
      <w:r>
        <w:rPr>
          <w:rFonts w:hint="eastAsia" w:ascii="宋体" w:hAnsi="宋体"/>
          <w:color w:val="auto"/>
          <w:szCs w:val="21"/>
          <w:highlight w:val="none"/>
          <w:shd w:val="clear" w:color="auto" w:fill="auto"/>
        </w:rPr>
        <w:t xml:space="preserve">合同</w:t>
      </w:r>
      <w:r>
        <w:rPr>
          <w:rFonts w:hint="eastAsia" w:ascii="宋体" w:hAnsi="宋体" w:cs="仿宋_GB2312"/>
          <w:color w:val="auto"/>
          <w:szCs w:val="21"/>
          <w:highlight w:val="none"/>
          <w:shd w:val="clear" w:color="auto" w:fill="auto"/>
        </w:rPr>
        <w:t xml:space="preserve">一方因不可抗力不能履行合同的，应当及时通知对方，以减轻可能给对方造成的损失，并应当在合理期限内</w:t>
      </w:r>
      <w:r>
        <w:rPr>
          <w:rFonts w:hint="eastAsia" w:ascii="宋体" w:hAnsi="宋体"/>
          <w:color w:val="auto"/>
          <w:szCs w:val="21"/>
          <w:highlight w:val="none"/>
          <w:shd w:val="clear" w:color="auto" w:fill="auto"/>
        </w:rPr>
        <w:t xml:space="preserve">提供证明。</w:t>
      </w:r>
      <w:r/>
    </w:p>
    <w:p>
      <w:pPr>
        <w:numPr>
          <w:ilvl w:val="0"/>
          <w:numId w:val="47"/>
        </w:numPr>
        <w:spacing w:line="400" w:lineRule="exact"/>
        <w:tabs>
          <w:tab w:val="left" w:pos="540" w:leader="none"/>
        </w:tabs>
        <w:rPr>
          <w:rFonts w:hint="eastAsia" w:ascii="宋体" w:hAnsi="宋体" w:cs="仿宋_GB2312"/>
          <w:b/>
          <w:color w:val="auto"/>
          <w:szCs w:val="21"/>
          <w:highlight w:val="none"/>
          <w:shd w:val="clear" w:color="auto" w:fill="auto"/>
        </w:rPr>
      </w:pPr>
      <w:r>
        <w:rPr>
          <w:rFonts w:hint="eastAsia" w:ascii="宋体" w:hAnsi="宋体" w:cs="仿宋_GB2312"/>
          <w:b/>
          <w:color w:val="auto"/>
          <w:szCs w:val="21"/>
          <w:highlight w:val="none"/>
          <w:shd w:val="clear" w:color="auto" w:fill="auto"/>
        </w:rPr>
        <w:t xml:space="preserve">合同修改</w:t>
      </w:r>
      <w:r/>
    </w:p>
    <w:p>
      <w:pPr>
        <w:numPr>
          <w:ilvl w:val="1"/>
          <w:numId w:val="47"/>
        </w:numPr>
        <w:spacing w:line="400" w:lineRule="exact"/>
        <w:tabs>
          <w:tab w:val="left" w:pos="540" w:leader="none"/>
          <w:tab w:val="left" w:pos="567" w:leader="none"/>
        </w:tabs>
        <w:rPr>
          <w:rFonts w:hint="eastAsia" w:ascii="宋体" w:hAnsi="宋体" w:cs="仿宋_GB2312"/>
          <w:color w:val="auto"/>
          <w:szCs w:val="21"/>
          <w:highlight w:val="none"/>
          <w:shd w:val="clear" w:color="auto" w:fill="auto"/>
        </w:rPr>
      </w:pPr>
      <w:r>
        <w:rPr>
          <w:rFonts w:hint="eastAsia" w:ascii="宋体" w:hAnsi="宋体"/>
          <w:color w:val="auto"/>
          <w:szCs w:val="21"/>
          <w:highlight w:val="none"/>
          <w:shd w:val="clear" w:color="auto" w:fill="auto"/>
        </w:rPr>
        <w:t xml:space="preserve">甲方</w:t>
      </w:r>
      <w:r>
        <w:rPr>
          <w:rFonts w:hint="eastAsia" w:ascii="宋体" w:hAnsi="宋体" w:cs="仿宋_GB2312"/>
          <w:color w:val="auto"/>
          <w:szCs w:val="21"/>
          <w:highlight w:val="none"/>
          <w:shd w:val="clear" w:color="auto" w:fill="auto"/>
        </w:rPr>
        <w:t xml:space="preserve">和乙方都不得擅自变更本合同，但合同继续履行将损害国家和社会公共利益的除外。</w:t>
      </w:r>
      <w:r/>
    </w:p>
    <w:p>
      <w:pPr>
        <w:numPr>
          <w:ilvl w:val="0"/>
          <w:numId w:val="47"/>
        </w:numPr>
        <w:spacing w:line="400" w:lineRule="exact"/>
        <w:tabs>
          <w:tab w:val="left" w:pos="540" w:leader="none"/>
        </w:tabs>
        <w:rPr>
          <w:rFonts w:hint="eastAsia" w:ascii="宋体" w:hAnsi="宋体" w:cs="仿宋_GB2312"/>
          <w:b/>
          <w:color w:val="auto"/>
          <w:szCs w:val="21"/>
          <w:highlight w:val="none"/>
          <w:shd w:val="clear" w:color="auto" w:fill="auto"/>
        </w:rPr>
      </w:pPr>
      <w:r>
        <w:rPr>
          <w:rFonts w:hint="eastAsia" w:ascii="宋体" w:hAnsi="宋体" w:cs="仿宋_GB2312"/>
          <w:b/>
          <w:color w:val="auto"/>
          <w:szCs w:val="21"/>
          <w:highlight w:val="none"/>
          <w:shd w:val="clear" w:color="auto" w:fill="auto"/>
        </w:rPr>
        <w:t xml:space="preserve">转让和分包</w:t>
      </w:r>
      <w:r/>
    </w:p>
    <w:p>
      <w:pPr>
        <w:numPr>
          <w:ilvl w:val="1"/>
          <w:numId w:val="47"/>
        </w:numPr>
        <w:spacing w:line="400" w:lineRule="exact"/>
        <w:tabs>
          <w:tab w:val="left" w:pos="540" w:leader="none"/>
          <w:tab w:val="left" w:pos="567" w:leader="none"/>
        </w:tabs>
        <w:rPr>
          <w:rFonts w:hint="eastAsia" w:ascii="宋体" w:hAnsi="宋体" w:cs="仿宋_GB2312"/>
          <w:color w:val="auto"/>
          <w:szCs w:val="21"/>
          <w:highlight w:val="none"/>
          <w:shd w:val="clear" w:color="auto" w:fill="auto"/>
        </w:rPr>
      </w:pPr>
      <w:r>
        <w:rPr>
          <w:rFonts w:hint="eastAsia" w:ascii="宋体" w:hAnsi="宋体"/>
          <w:color w:val="auto"/>
          <w:szCs w:val="21"/>
          <w:highlight w:val="none"/>
          <w:shd w:val="clear" w:color="auto" w:fill="auto"/>
        </w:rPr>
        <w:t xml:space="preserve">政府</w:t>
      </w:r>
      <w:r>
        <w:rPr>
          <w:rFonts w:hint="eastAsia" w:ascii="宋体" w:hAnsi="宋体" w:cs="仿宋_GB2312"/>
          <w:color w:val="auto"/>
          <w:szCs w:val="21"/>
          <w:highlight w:val="none"/>
          <w:shd w:val="clear" w:color="auto" w:fill="auto"/>
        </w:rPr>
        <w:t xml:space="preserve">采购合同的部分和全部都不得转让、分包。</w:t>
      </w:r>
      <w:r/>
    </w:p>
    <w:p>
      <w:pPr>
        <w:numPr>
          <w:ilvl w:val="0"/>
          <w:numId w:val="47"/>
        </w:numPr>
        <w:spacing w:line="400" w:lineRule="exact"/>
        <w:tabs>
          <w:tab w:val="left" w:pos="540" w:leader="none"/>
        </w:tabs>
        <w:rPr>
          <w:rFonts w:hint="eastAsia" w:ascii="宋体" w:hAnsi="宋体" w:cs="仿宋_GB2312"/>
          <w:b/>
          <w:color w:val="auto"/>
          <w:szCs w:val="21"/>
          <w:highlight w:val="none"/>
          <w:shd w:val="clear" w:color="auto" w:fill="auto"/>
        </w:rPr>
      </w:pPr>
      <w:r>
        <w:rPr>
          <w:rFonts w:hint="eastAsia" w:ascii="宋体" w:hAnsi="宋体" w:cs="仿宋_GB2312"/>
          <w:b/>
          <w:color w:val="auto"/>
          <w:szCs w:val="21"/>
          <w:highlight w:val="none"/>
          <w:shd w:val="clear" w:color="auto" w:fill="auto"/>
        </w:rPr>
        <w:t xml:space="preserve">合同的解除</w:t>
      </w:r>
      <w:r/>
    </w:p>
    <w:p>
      <w:pPr>
        <w:numPr>
          <w:ilvl w:val="1"/>
          <w:numId w:val="47"/>
        </w:numPr>
        <w:spacing w:line="400" w:lineRule="exact"/>
        <w:tabs>
          <w:tab w:val="left" w:pos="540" w:leader="none"/>
          <w:tab w:val="left" w:pos="567" w:leader="none"/>
        </w:tabs>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有</w:t>
      </w:r>
      <w:r>
        <w:rPr>
          <w:rFonts w:hint="eastAsia" w:ascii="宋体" w:hAnsi="宋体"/>
          <w:color w:val="auto"/>
          <w:szCs w:val="21"/>
          <w:highlight w:val="none"/>
          <w:shd w:val="clear" w:color="auto" w:fill="auto"/>
        </w:rPr>
        <w:t xml:space="preserve">下列</w:t>
      </w:r>
      <w:r>
        <w:rPr>
          <w:rFonts w:hint="eastAsia" w:ascii="宋体" w:hAnsi="宋体" w:cs="仿宋_GB2312"/>
          <w:color w:val="auto"/>
          <w:szCs w:val="21"/>
          <w:highlight w:val="none"/>
          <w:shd w:val="clear" w:color="auto" w:fill="auto"/>
        </w:rPr>
        <w:t xml:space="preserve">情形之一，合同一方可以解除合同：</w:t>
      </w:r>
      <w:r/>
    </w:p>
    <w:p>
      <w:pPr>
        <w:numPr>
          <w:ilvl w:val="0"/>
          <w:numId w:val="55"/>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因不可抗力致使不能实现合同目的，双方均有权解除合同；</w:t>
      </w:r>
      <w:r/>
    </w:p>
    <w:p>
      <w:pPr>
        <w:numPr>
          <w:ilvl w:val="0"/>
          <w:numId w:val="55"/>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因合同一方违约导致合同不能履行，另一方有权解除合同。</w:t>
      </w:r>
      <w:r/>
    </w:p>
    <w:p>
      <w:pPr>
        <w:numPr>
          <w:ilvl w:val="1"/>
          <w:numId w:val="47"/>
        </w:numPr>
        <w:spacing w:line="400" w:lineRule="exact"/>
        <w:tabs>
          <w:tab w:val="left" w:pos="540" w:leader="none"/>
          <w:tab w:val="left" w:pos="567" w:leader="none"/>
        </w:tabs>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有权解除合同的一方，应当在违约事实或不可抗力发生之后三十天内书面通知对方以主张解除合同，合同在书面通知到达对方时解除。</w:t>
      </w:r>
      <w:r/>
    </w:p>
    <w:p>
      <w:pPr>
        <w:numPr>
          <w:ilvl w:val="0"/>
          <w:numId w:val="47"/>
        </w:numPr>
        <w:spacing w:line="400" w:lineRule="exact"/>
        <w:tabs>
          <w:tab w:val="left" w:pos="540" w:leader="none"/>
        </w:tabs>
        <w:rPr>
          <w:rFonts w:hint="eastAsia" w:ascii="宋体" w:hAnsi="宋体" w:cs="仿宋_GB2312"/>
          <w:b/>
          <w:color w:val="auto"/>
          <w:szCs w:val="21"/>
          <w:highlight w:val="none"/>
          <w:shd w:val="clear" w:color="auto" w:fill="auto"/>
        </w:rPr>
      </w:pPr>
      <w:r>
        <w:rPr>
          <w:rFonts w:hint="eastAsia" w:ascii="宋体" w:hAnsi="宋体" w:cs="仿宋_GB2312"/>
          <w:b/>
          <w:color w:val="auto"/>
          <w:szCs w:val="21"/>
          <w:highlight w:val="none"/>
          <w:shd w:val="clear" w:color="auto" w:fill="auto"/>
        </w:rPr>
        <w:t xml:space="preserve">争议解决办法</w:t>
      </w:r>
      <w:r/>
    </w:p>
    <w:p>
      <w:pPr>
        <w:ind w:firstLine="539"/>
        <w:spacing w:line="400" w:lineRule="exact"/>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因本合同或与本合同有关的一切事项发生争议，由双方友好协商解决。协商不成的，任何一方均可选择以下方式解决：</w:t>
      </w:r>
      <w:r/>
    </w:p>
    <w:p>
      <w:pPr>
        <w:ind w:firstLine="539"/>
        <w:spacing w:line="400" w:lineRule="exact"/>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向甲方所在地的人民法院起诉。</w:t>
      </w:r>
      <w:r/>
    </w:p>
    <w:p>
      <w:pPr>
        <w:numPr>
          <w:ilvl w:val="0"/>
          <w:numId w:val="47"/>
        </w:numPr>
        <w:spacing w:line="400" w:lineRule="exact"/>
        <w:tabs>
          <w:tab w:val="left" w:pos="540" w:leader="none"/>
        </w:tabs>
        <w:rPr>
          <w:rFonts w:hint="eastAsia" w:ascii="宋体" w:hAnsi="宋体" w:cs="仿宋_GB2312"/>
          <w:b/>
          <w:color w:val="auto"/>
          <w:szCs w:val="21"/>
          <w:highlight w:val="none"/>
          <w:shd w:val="clear" w:color="auto" w:fill="auto"/>
        </w:rPr>
      </w:pPr>
      <w:r>
        <w:rPr>
          <w:rFonts w:hint="eastAsia" w:ascii="宋体" w:hAnsi="宋体" w:cs="仿宋_GB2312"/>
          <w:b/>
          <w:color w:val="auto"/>
          <w:szCs w:val="21"/>
          <w:highlight w:val="none"/>
          <w:shd w:val="clear" w:color="auto" w:fill="auto"/>
        </w:rPr>
        <w:t xml:space="preserve">合同生效及其他</w:t>
      </w:r>
      <w:r/>
    </w:p>
    <w:p>
      <w:pPr>
        <w:numPr>
          <w:ilvl w:val="1"/>
          <w:numId w:val="47"/>
        </w:numPr>
        <w:spacing w:line="400" w:lineRule="exact"/>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s="仿宋_GB2312"/>
          <w:color w:val="auto"/>
          <w:szCs w:val="21"/>
          <w:highlight w:val="none"/>
          <w:shd w:val="clear" w:color="auto" w:fill="auto"/>
        </w:rPr>
        <w:t xml:space="preserve">本</w:t>
      </w:r>
      <w:r>
        <w:rPr>
          <w:rFonts w:hint="eastAsia" w:ascii="宋体" w:hAnsi="宋体"/>
          <w:color w:val="auto"/>
          <w:szCs w:val="21"/>
          <w:highlight w:val="none"/>
          <w:shd w:val="clear" w:color="auto" w:fill="auto"/>
        </w:rPr>
        <w:t xml:space="preserve">合同</w:t>
      </w:r>
      <w:r>
        <w:rPr>
          <w:rFonts w:hint="eastAsia" w:ascii="宋体" w:hAnsi="宋体" w:cs="仿宋_GB2312"/>
          <w:color w:val="auto"/>
          <w:szCs w:val="21"/>
          <w:highlight w:val="none"/>
          <w:shd w:val="clear" w:color="auto" w:fill="auto"/>
        </w:rPr>
        <w:t xml:space="preserve">经双方签字并盖章后生效，同时合同将进行公示。</w:t>
      </w:r>
      <w:r/>
    </w:p>
    <w:p>
      <w:pPr>
        <w:numPr>
          <w:ilvl w:val="1"/>
          <w:numId w:val="47"/>
        </w:numPr>
        <w:spacing w:line="400" w:lineRule="exact"/>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s="仿宋_GB2312"/>
          <w:color w:val="auto"/>
          <w:szCs w:val="21"/>
          <w:highlight w:val="none"/>
          <w:shd w:val="clear" w:color="auto" w:fill="auto"/>
        </w:rPr>
        <w:t xml:space="preserve">下列文件为本合同不可分割部分</w:t>
      </w:r>
      <w:r>
        <w:rPr>
          <w:rFonts w:hint="eastAsia" w:ascii="宋体" w:hAnsi="宋体"/>
          <w:color w:val="auto"/>
          <w:szCs w:val="21"/>
          <w:highlight w:val="none"/>
          <w:shd w:val="clear" w:color="auto" w:fill="auto"/>
        </w:rPr>
        <w:t xml:space="preserve">：</w:t>
      </w:r>
      <w:r/>
    </w:p>
    <w:p>
      <w:pPr>
        <w:ind w:left="540" w:right="-153"/>
        <w:spacing w:line="400" w:lineRule="exact"/>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成交通知书；乙方响应文件；磋商文件；乙方在磋商过程</w:t>
      </w:r>
      <w:r>
        <w:rPr>
          <w:rFonts w:hint="eastAsia" w:ascii="宋体" w:hAnsi="宋体"/>
          <w:color w:val="auto"/>
          <w:szCs w:val="21"/>
          <w:highlight w:val="none"/>
          <w:shd w:val="clear" w:color="auto" w:fill="auto"/>
        </w:rPr>
        <w:t xml:space="preserve">中所作的其他承诺、声明、书面澄清等。</w:t>
      </w:r>
      <w:r/>
    </w:p>
    <w:p>
      <w:pPr>
        <w:numPr>
          <w:ilvl w:val="0"/>
          <w:numId w:val="47"/>
        </w:numPr>
        <w:spacing w:line="400" w:lineRule="exact"/>
        <w:tabs>
          <w:tab w:val="left" w:pos="540" w:leader="none"/>
        </w:tabs>
        <w:rPr>
          <w:rFonts w:hint="eastAsia" w:ascii="宋体" w:hAnsi="宋体" w:cs="仿宋_GB2312"/>
          <w:b/>
          <w:color w:val="auto"/>
          <w:szCs w:val="21"/>
          <w:highlight w:val="none"/>
          <w:shd w:val="clear" w:color="auto" w:fill="auto"/>
        </w:rPr>
      </w:pPr>
      <w:r>
        <w:rPr>
          <w:rFonts w:hint="eastAsia" w:ascii="宋体" w:hAnsi="宋体" w:cs="仿宋_GB2312"/>
          <w:b/>
          <w:color w:val="auto"/>
          <w:szCs w:val="21"/>
          <w:highlight w:val="none"/>
          <w:shd w:val="clear" w:color="auto" w:fill="auto"/>
        </w:rPr>
        <w:t xml:space="preserve">未尽事宜</w:t>
      </w:r>
      <w:r/>
    </w:p>
    <w:p>
      <w:pPr>
        <w:ind w:firstLine="420"/>
        <w:spacing w:line="400" w:lineRule="exact"/>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未尽事宜应按照《中华人民共和国民法典》、《中华人民共和国政府采购法》等相关法律法规之规定解释。</w:t>
      </w:r>
      <w:r/>
    </w:p>
    <w:p>
      <w:pPr>
        <w:numPr>
          <w:ilvl w:val="0"/>
          <w:numId w:val="47"/>
        </w:numPr>
        <w:spacing w:line="400" w:lineRule="exact"/>
        <w:tabs>
          <w:tab w:val="left" w:pos="540" w:leader="none"/>
        </w:tabs>
        <w:rPr>
          <w:rFonts w:hint="eastAsia" w:ascii="宋体" w:hAnsi="宋体" w:cs="仿宋_GB2312"/>
          <w:b/>
          <w:color w:val="auto"/>
          <w:szCs w:val="21"/>
          <w:highlight w:val="none"/>
          <w:shd w:val="clear" w:color="auto" w:fill="auto"/>
        </w:rPr>
      </w:pPr>
      <w:r>
        <w:rPr>
          <w:rFonts w:hint="eastAsia" w:ascii="宋体" w:hAnsi="宋体" w:cs="仿宋_GB2312"/>
          <w:b/>
          <w:color w:val="auto"/>
          <w:szCs w:val="21"/>
          <w:highlight w:val="none"/>
          <w:shd w:val="clear" w:color="auto" w:fill="auto"/>
        </w:rPr>
        <w:t xml:space="preserve">附则</w:t>
      </w:r>
      <w:r/>
    </w:p>
    <w:p>
      <w:pPr>
        <w:ind w:firstLine="539"/>
        <w:spacing w:line="400" w:lineRule="exact"/>
        <w:rPr>
          <w:rFonts w:hint="eastAsia" w:ascii="宋体" w:hAnsi="宋体" w:cs="仿宋_GB2312"/>
          <w:color w:val="auto"/>
          <w:szCs w:val="21"/>
          <w:highlight w:val="none"/>
          <w:shd w:val="clear" w:color="auto" w:fill="auto"/>
        </w:rPr>
      </w:pPr>
      <w:r>
        <w:rPr>
          <w:rFonts w:hint="eastAsia" w:ascii="宋体" w:hAnsi="宋体" w:cs="仿宋_GB2312"/>
          <w:color w:val="auto"/>
          <w:szCs w:val="21"/>
          <w:highlight w:val="none"/>
          <w:shd w:val="clear" w:color="auto" w:fill="auto"/>
        </w:rPr>
        <w:t xml:space="preserve">本合同一式</w:t>
      </w:r>
      <w:r>
        <w:rPr>
          <w:rFonts w:hint="eastAsia" w:ascii="宋体" w:hAnsi="宋体" w:cs="仿宋_GB2312"/>
          <w:color w:val="auto"/>
          <w:szCs w:val="21"/>
          <w:highlight w:val="none"/>
          <w:u w:val="single"/>
          <w:shd w:val="clear" w:color="auto" w:fill="auto"/>
        </w:rPr>
        <w:t xml:space="preserve"> 五 </w:t>
      </w:r>
      <w:r>
        <w:rPr>
          <w:rFonts w:hint="eastAsia" w:ascii="宋体" w:hAnsi="宋体" w:cs="仿宋_GB2312"/>
          <w:color w:val="auto"/>
          <w:szCs w:val="21"/>
          <w:highlight w:val="none"/>
          <w:shd w:val="clear" w:color="auto" w:fill="auto"/>
        </w:rPr>
        <w:t xml:space="preserve">份，甲、乙方各执</w:t>
      </w:r>
      <w:r>
        <w:rPr>
          <w:rFonts w:hint="eastAsia" w:ascii="宋体" w:hAnsi="宋体" w:cs="仿宋_GB2312"/>
          <w:color w:val="auto"/>
          <w:szCs w:val="21"/>
          <w:highlight w:val="none"/>
          <w:u w:val="single"/>
          <w:shd w:val="clear" w:color="auto" w:fill="auto"/>
        </w:rPr>
        <w:t xml:space="preserve"> 两 </w:t>
      </w:r>
      <w:r>
        <w:rPr>
          <w:rFonts w:hint="eastAsia" w:ascii="宋体" w:hAnsi="宋体" w:cs="仿宋_GB2312"/>
          <w:color w:val="auto"/>
          <w:szCs w:val="21"/>
          <w:highlight w:val="none"/>
          <w:shd w:val="clear" w:color="auto" w:fill="auto"/>
        </w:rPr>
        <w:t xml:space="preserve">份，采购代理机构一份。</w:t>
      </w:r>
      <w:bookmarkEnd w:id="16"/>
      <w:r/>
      <w:r/>
    </w:p>
    <w:p>
      <w:pPr>
        <w:jc w:val="center"/>
        <w:spacing w:line="360" w:lineRule="auto"/>
        <w:rPr>
          <w:rFonts w:ascii="宋体" w:hAnsi="宋体"/>
          <w:b/>
          <w:color w:val="auto"/>
          <w:sz w:val="32"/>
          <w:highlight w:val="none"/>
          <w:shd w:val="clear" w:color="auto" w:fill="auto"/>
        </w:rPr>
        <w:outlineLvl w:val="0"/>
      </w:pPr>
      <w:r>
        <w:rPr>
          <w:rFonts w:ascii="宋体" w:hAnsi="宋体"/>
          <w:b/>
          <w:color w:val="auto"/>
          <w:sz w:val="32"/>
          <w:highlight w:val="none"/>
          <w:shd w:val="clear" w:color="auto" w:fill="auto"/>
        </w:rPr>
      </w:r>
      <w:r/>
    </w:p>
    <w:p>
      <w:pPr>
        <w:jc w:val="both"/>
        <w:spacing w:line="360" w:lineRule="auto"/>
        <w:rPr>
          <w:rFonts w:ascii="宋体" w:hAnsi="宋体"/>
          <w:b/>
          <w:color w:val="auto"/>
          <w:sz w:val="32"/>
          <w:highlight w:val="none"/>
          <w:shd w:val="clear" w:color="auto" w:fill="auto"/>
        </w:rPr>
        <w:outlineLvl w:val="0"/>
      </w:pPr>
      <w:r>
        <w:rPr>
          <w:rFonts w:ascii="宋体" w:hAnsi="宋体"/>
          <w:b/>
          <w:color w:val="auto"/>
          <w:sz w:val="32"/>
          <w:highlight w:val="none"/>
          <w:shd w:val="clear" w:color="auto" w:fill="auto"/>
        </w:rPr>
      </w:r>
      <w:r/>
    </w:p>
    <w:p>
      <w:pPr>
        <w:rPr>
          <w:rFonts w:hint="eastAsia" w:ascii="宋体" w:hAnsi="宋体"/>
          <w:b/>
          <w:color w:val="auto"/>
          <w:sz w:val="32"/>
          <w:highlight w:val="none"/>
          <w:shd w:val="clear" w:color="auto" w:fill="auto"/>
        </w:rPr>
      </w:pPr>
      <w:r>
        <w:rPr>
          <w:rFonts w:hint="eastAsia" w:ascii="宋体" w:hAnsi="宋体"/>
          <w:b/>
          <w:color w:val="auto"/>
          <w:sz w:val="32"/>
          <w:highlight w:val="none"/>
          <w:shd w:val="clear" w:color="auto" w:fill="auto"/>
        </w:rPr>
        <w:br w:type="page" w:clear="all"/>
      </w:r>
      <w:r/>
    </w:p>
    <w:p>
      <w:pPr>
        <w:jc w:val="center"/>
        <w:spacing w:line="360" w:lineRule="auto"/>
        <w:rPr>
          <w:rFonts w:hint="default" w:ascii="宋体" w:hAnsi="宋体" w:eastAsia="宋体"/>
          <w:b/>
          <w:color w:val="auto"/>
          <w:sz w:val="32"/>
          <w:highlight w:val="none"/>
          <w:shd w:val="clear" w:color="auto" w:fill="auto"/>
          <w:lang w:val="en-US" w:eastAsia="zh-CN"/>
        </w:rPr>
        <w:outlineLvl w:val="0"/>
      </w:pPr>
      <w:r>
        <w:rPr>
          <w:rFonts w:hint="eastAsia" w:ascii="宋体" w:hAnsi="宋体"/>
          <w:b/>
          <w:color w:val="auto"/>
          <w:sz w:val="32"/>
          <w:highlight w:val="none"/>
          <w:shd w:val="clear" w:color="auto" w:fill="auto"/>
        </w:rPr>
        <w:t xml:space="preserve">五、</w:t>
      </w:r>
      <w:r>
        <w:rPr>
          <w:rFonts w:hint="eastAsia" w:ascii="宋体" w:hAnsi="宋体"/>
          <w:b/>
          <w:color w:val="auto"/>
          <w:sz w:val="32"/>
          <w:highlight w:val="none"/>
          <w:shd w:val="clear" w:color="auto" w:fill="auto"/>
          <w:lang w:val="en-US" w:eastAsia="zh-CN"/>
        </w:rPr>
        <w:t xml:space="preserve">附件</w:t>
      </w:r>
      <w:r/>
    </w:p>
    <w:p>
      <w:pPr>
        <w:rPr>
          <w:rFonts w:hint="eastAsia" w:ascii="宋体" w:hAnsi="宋体" w:cs="宋体"/>
          <w:b/>
          <w:color w:val="auto"/>
          <w:szCs w:val="21"/>
          <w:highlight w:val="none"/>
          <w:shd w:val="clear" w:color="auto" w:fill="auto"/>
        </w:rPr>
      </w:pPr>
      <w:r>
        <w:rPr>
          <w:rFonts w:hint="eastAsia" w:ascii="宋体" w:hAnsi="宋体"/>
          <w:b/>
          <w:color w:val="auto"/>
          <w:highlight w:val="none"/>
          <w:shd w:val="clear" w:color="auto" w:fill="auto"/>
        </w:rPr>
        <w:t xml:space="preserve">附件</w:t>
      </w:r>
      <w:r>
        <w:rPr>
          <w:rFonts w:ascii="宋体" w:hAnsi="宋体"/>
          <w:b/>
          <w:color w:val="auto"/>
          <w:highlight w:val="none"/>
          <w:shd w:val="clear" w:color="auto" w:fill="auto"/>
        </w:rPr>
        <w:t xml:space="preserve">1</w:t>
      </w:r>
      <w:r>
        <w:rPr>
          <w:rFonts w:hint="eastAsia" w:ascii="宋体" w:hAnsi="宋体"/>
          <w:b/>
          <w:color w:val="auto"/>
          <w:highlight w:val="none"/>
          <w:shd w:val="clear" w:color="auto" w:fill="auto"/>
        </w:rPr>
        <w:t xml:space="preserve">、</w:t>
      </w:r>
      <w:r>
        <w:rPr>
          <w:rFonts w:hint="eastAsia" w:ascii="宋体" w:hAnsi="宋体" w:cs="宋体"/>
          <w:b/>
          <w:color w:val="auto"/>
          <w:szCs w:val="21"/>
          <w:highlight w:val="none"/>
          <w:shd w:val="clear" w:color="auto" w:fill="auto"/>
        </w:rPr>
        <w:t xml:space="preserve">法定代表人授权委托书</w:t>
      </w:r>
      <w:r/>
    </w:p>
    <w:p>
      <w:pPr>
        <w:jc w:val="center"/>
        <w:spacing w:line="400" w:lineRule="exact"/>
        <w:tabs>
          <w:tab w:val="left" w:pos="360" w:leader="none"/>
          <w:tab w:val="left" w:pos="540" w:leader="none"/>
        </w:tabs>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法定代表人授权委托书</w:t>
      </w:r>
      <w:r/>
    </w:p>
    <w:p>
      <w:pPr>
        <w:pStyle w:val="963"/>
        <w:jc w:val="both"/>
        <w:spacing w:line="360" w:lineRule="auto"/>
        <w:rPr>
          <w:rFonts w:hint="eastAsia" w:ascii="宋体" w:hAnsi="宋体" w:eastAsia="宋体"/>
          <w:color w:val="auto"/>
          <w:sz w:val="28"/>
          <w:highlight w:val="none"/>
          <w:shd w:val="clear" w:color="auto" w:fill="auto"/>
        </w:rPr>
      </w:pPr>
      <w:r>
        <w:rPr>
          <w:rFonts w:hint="eastAsia" w:ascii="宋体" w:hAnsi="宋体" w:eastAsia="宋体"/>
          <w:color w:val="auto"/>
          <w:sz w:val="28"/>
          <w:highlight w:val="none"/>
          <w:shd w:val="clear" w:color="auto" w:fill="auto"/>
        </w:rPr>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本授权委托书声明：</w:t>
      </w:r>
      <w:r>
        <w:rPr>
          <w:rFonts w:ascii="宋体" w:hAnsi="宋体"/>
          <w:color w:val="auto"/>
          <w:szCs w:val="21"/>
          <w:highlight w:val="none"/>
          <w:shd w:val="clear" w:color="auto" w:fill="auto"/>
        </w:rPr>
        <w:t xml:space="preserve">  </w:t>
      </w:r>
      <w:r>
        <w:rPr>
          <w:rFonts w:hint="eastAsia" w:ascii="宋体" w:hAnsi="宋体"/>
          <w:color w:val="auto"/>
          <w:szCs w:val="21"/>
          <w:highlight w:val="none"/>
          <w:shd w:val="clear" w:color="auto" w:fill="auto"/>
        </w:rPr>
        <w:t xml:space="preserve">我</w:t>
      </w:r>
      <w:r>
        <w:rPr>
          <w:rFonts w:ascii="宋体" w:hAnsi="宋体"/>
          <w:color w:val="auto"/>
          <w:szCs w:val="21"/>
          <w:highlight w:val="none"/>
          <w:u w:val="single"/>
          <w:shd w:val="clear" w:color="auto" w:fill="auto"/>
        </w:rPr>
        <w:t xml:space="preserve">           </w:t>
      </w:r>
      <w:r>
        <w:rPr>
          <w:rFonts w:hint="eastAsia" w:ascii="宋体" w:hAnsi="宋体"/>
          <w:color w:val="auto"/>
          <w:szCs w:val="21"/>
          <w:highlight w:val="none"/>
          <w:shd w:val="clear" w:color="auto" w:fill="auto"/>
        </w:rPr>
        <w:t xml:space="preserve">（姓名）系</w:t>
      </w:r>
      <w:r>
        <w:rPr>
          <w:rFonts w:ascii="宋体" w:hAnsi="宋体"/>
          <w:color w:val="auto"/>
          <w:szCs w:val="21"/>
          <w:highlight w:val="none"/>
          <w:u w:val="single"/>
          <w:shd w:val="clear" w:color="auto" w:fill="auto"/>
        </w:rPr>
        <w:t xml:space="preserve">  </w:t>
      </w:r>
      <w:r>
        <w:rPr>
          <w:rFonts w:hint="eastAsia" w:ascii="宋体" w:hAnsi="宋体"/>
          <w:color w:val="auto"/>
          <w:szCs w:val="21"/>
          <w:highlight w:val="none"/>
          <w:u w:val="single"/>
          <w:shd w:val="clear" w:color="auto" w:fill="auto"/>
        </w:rPr>
        <w:t xml:space="preserve">（供应商名称）</w:t>
      </w:r>
      <w:r>
        <w:rPr>
          <w:rFonts w:hint="eastAsia" w:ascii="宋体" w:hAnsi="宋体"/>
          <w:color w:val="auto"/>
          <w:szCs w:val="21"/>
          <w:highlight w:val="none"/>
          <w:shd w:val="clear" w:color="auto" w:fill="auto"/>
        </w:rPr>
        <w:t xml:space="preserve">的法定代表人，现授权委托</w:t>
      </w:r>
      <w:r>
        <w:rPr>
          <w:rFonts w:ascii="宋体" w:hAnsi="宋体"/>
          <w:color w:val="auto"/>
          <w:szCs w:val="21"/>
          <w:highlight w:val="none"/>
          <w:u w:val="single"/>
          <w:shd w:val="clear" w:color="auto" w:fill="auto"/>
        </w:rPr>
        <w:t xml:space="preserve">     </w:t>
      </w:r>
      <w:r>
        <w:rPr>
          <w:rFonts w:hint="eastAsia" w:ascii="宋体" w:hAnsi="宋体"/>
          <w:color w:val="auto"/>
          <w:szCs w:val="21"/>
          <w:highlight w:val="none"/>
          <w:u w:val="single"/>
          <w:shd w:val="clear" w:color="auto" w:fill="auto"/>
        </w:rPr>
        <w:t xml:space="preserve">  </w:t>
      </w:r>
      <w:r>
        <w:rPr>
          <w:rFonts w:ascii="宋体" w:hAnsi="宋体"/>
          <w:color w:val="auto"/>
          <w:szCs w:val="21"/>
          <w:highlight w:val="none"/>
          <w:u w:val="single"/>
          <w:shd w:val="clear" w:color="auto" w:fill="auto"/>
        </w:rPr>
        <w:t xml:space="preserve"> </w:t>
      </w:r>
      <w:r>
        <w:rPr>
          <w:rFonts w:hint="eastAsia" w:ascii="宋体" w:hAnsi="宋体"/>
          <w:color w:val="auto"/>
          <w:szCs w:val="21"/>
          <w:highlight w:val="none"/>
          <w:shd w:val="clear" w:color="auto" w:fill="auto"/>
        </w:rPr>
        <w:t xml:space="preserve">（姓名）为我公司授权代表（即代理人），以本公司的名义参加 </w:t>
      </w:r>
      <w:r>
        <w:rPr>
          <w:rFonts w:hint="eastAsia" w:ascii="宋体" w:hAnsi="宋体"/>
          <w:color w:val="auto"/>
          <w:szCs w:val="21"/>
          <w:highlight w:val="none"/>
          <w:u w:val="single"/>
          <w:shd w:val="clear" w:color="auto" w:fill="auto"/>
        </w:rPr>
        <w:t xml:space="preserve">    苏州市原鑫招投标咨询服务有限公司</w:t>
      </w:r>
      <w:r>
        <w:rPr>
          <w:rFonts w:hint="eastAsia" w:ascii="宋体" w:hAnsi="宋体"/>
          <w:b/>
          <w:i/>
          <w:color w:val="auto"/>
          <w:szCs w:val="21"/>
          <w:highlight w:val="none"/>
          <w:u w:val="single"/>
          <w:shd w:val="clear" w:color="auto" w:fill="auto"/>
        </w:rPr>
        <w:t xml:space="preserve">  </w:t>
      </w:r>
      <w:r>
        <w:rPr>
          <w:rFonts w:hint="eastAsia" w:ascii="宋体" w:hAnsi="宋体"/>
          <w:color w:val="auto"/>
          <w:szCs w:val="21"/>
          <w:highlight w:val="none"/>
          <w:shd w:val="clear" w:color="auto" w:fill="auto"/>
        </w:rPr>
        <w:t xml:space="preserve"> 组织实施的编号为</w:t>
      </w:r>
      <w:r>
        <w:rPr>
          <w:rFonts w:ascii="宋体" w:hAnsi="宋体"/>
          <w:color w:val="auto"/>
          <w:szCs w:val="21"/>
          <w:highlight w:val="none"/>
          <w:u w:val="single"/>
          <w:shd w:val="clear" w:color="auto" w:fill="auto"/>
        </w:rPr>
        <w:t xml:space="preserve">  </w:t>
      </w:r>
      <w:r>
        <w:rPr>
          <w:rFonts w:hint="eastAsia" w:ascii="宋体" w:hAnsi="宋体"/>
          <w:color w:val="auto"/>
          <w:szCs w:val="21"/>
          <w:highlight w:val="none"/>
          <w:u w:val="single"/>
          <w:shd w:val="clear" w:color="auto" w:fill="auto"/>
          <w:lang w:eastAsia="zh-CN"/>
        </w:rPr>
        <w:t xml:space="preserve">JSZC-320500-SZYX-C2025-0083</w:t>
      </w:r>
      <w:r>
        <w:rPr>
          <w:rFonts w:ascii="宋体" w:hAnsi="宋体"/>
          <w:color w:val="auto"/>
          <w:szCs w:val="21"/>
          <w:highlight w:val="none"/>
          <w:u w:val="single"/>
          <w:shd w:val="clear" w:color="auto" w:fill="auto"/>
        </w:rPr>
        <w:t xml:space="preserve">  </w:t>
      </w:r>
      <w:r>
        <w:rPr>
          <w:rFonts w:hint="eastAsia" w:ascii="宋体" w:hAnsi="宋体"/>
          <w:color w:val="auto"/>
          <w:szCs w:val="21"/>
          <w:highlight w:val="none"/>
          <w:shd w:val="clear" w:color="auto" w:fill="auto"/>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授权代表无转委托权。特此委托。</w:t>
      </w:r>
      <w:r/>
    </w:p>
    <w:p>
      <w:pPr>
        <w:ind w:firstLine="480"/>
        <w:spacing w:line="360" w:lineRule="auto"/>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    </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供应商：（公章）</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法定代表人：（签字或盖章）</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代理人：（签字或盖章）</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pStyle w:val="963"/>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　　　　　　　　年　　</w:t>
      </w:r>
      <w:r>
        <w:rPr>
          <w:rFonts w:ascii="宋体" w:hAnsi="宋体" w:eastAsia="宋体"/>
          <w:color w:val="auto"/>
          <w:sz w:val="21"/>
          <w:szCs w:val="21"/>
          <w:highlight w:val="none"/>
          <w:shd w:val="clear" w:color="auto" w:fill="auto"/>
        </w:rPr>
        <w:t xml:space="preserve">  </w:t>
      </w:r>
      <w:r>
        <w:rPr>
          <w:rFonts w:hint="eastAsia" w:ascii="宋体" w:hAnsi="宋体" w:eastAsia="宋体"/>
          <w:color w:val="auto"/>
          <w:sz w:val="21"/>
          <w:szCs w:val="21"/>
          <w:highlight w:val="none"/>
          <w:shd w:val="clear" w:color="auto" w:fill="auto"/>
        </w:rPr>
        <w:t xml:space="preserve">月　　</w:t>
      </w:r>
      <w:r>
        <w:rPr>
          <w:rFonts w:ascii="宋体" w:hAnsi="宋体" w:eastAsia="宋体"/>
          <w:color w:val="auto"/>
          <w:sz w:val="21"/>
          <w:szCs w:val="21"/>
          <w:highlight w:val="none"/>
          <w:shd w:val="clear" w:color="auto" w:fill="auto"/>
        </w:rPr>
        <w:t xml:space="preserve">  </w:t>
      </w:r>
      <w:r>
        <w:rPr>
          <w:rFonts w:hint="eastAsia" w:ascii="宋体" w:hAnsi="宋体" w:eastAsia="宋体"/>
          <w:color w:val="auto"/>
          <w:sz w:val="21"/>
          <w:szCs w:val="21"/>
          <w:highlight w:val="none"/>
          <w:shd w:val="clear" w:color="auto" w:fill="auto"/>
        </w:rPr>
        <w:t xml:space="preserve">日</w:t>
      </w:r>
      <w:r/>
    </w:p>
    <w:p>
      <w:pPr>
        <w:pStyle w:val="963"/>
        <w:ind w:firstLine="0"/>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p>
      <w:pPr>
        <w:pStyle w:val="963"/>
        <w:ind w:firstLine="0"/>
        <w:rPr>
          <w:rFonts w:hint="eastAsia" w:ascii="宋体" w:hAnsi="宋体" w:eastAsia="宋体"/>
          <w:color w:val="auto"/>
          <w:highlight w:val="none"/>
          <w:shd w:val="clear" w:color="auto" w:fill="auto"/>
        </w:rPr>
      </w:pPr>
      <w:r>
        <w:rPr>
          <w:rFonts w:hint="eastAsia" w:ascii="宋体" w:hAnsi="宋体" w:eastAsia="宋体"/>
          <w:color w:val="auto"/>
          <w:highlight w:val="none"/>
          <w:shd w:val="clear" w:color="auto" w:fill="auto"/>
        </w:rPr>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后附身份证</w:t>
      </w:r>
      <w:r/>
    </w:p>
    <w:p>
      <w:pPr>
        <w:jc w:val="left"/>
        <w:widowControl/>
        <w:rPr>
          <w:rFonts w:hint="eastAsia" w:ascii="宋体" w:hAnsi="宋体"/>
          <w:color w:val="auto"/>
          <w:sz w:val="28"/>
          <w:szCs w:val="20"/>
          <w:highlight w:val="none"/>
          <w:shd w:val="clear" w:color="auto" w:fill="auto"/>
        </w:rPr>
      </w:pPr>
      <w:r>
        <w:rPr>
          <w:rFonts w:hAnsi="宋体"/>
          <w:color w:val="auto"/>
          <w:highlight w:val="none"/>
          <w:shd w:val="clear" w:color="auto" w:fill="auto"/>
        </w:rPr>
        <w:br w:type="page" w:clear="all"/>
      </w:r>
      <w:r/>
    </w:p>
    <w:p>
      <w:pPr>
        <w:pStyle w:val="973"/>
        <w:spacing w:line="380" w:lineRule="exact"/>
        <w:rPr>
          <w:rFonts w:hint="eastAsia" w:hAnsi="宋体" w:eastAsia="宋体"/>
          <w:b/>
          <w:color w:val="auto"/>
          <w:sz w:val="21"/>
          <w:szCs w:val="21"/>
          <w:highlight w:val="none"/>
          <w:shd w:val="clear" w:color="auto" w:fill="auto"/>
        </w:rPr>
      </w:pPr>
      <w:r>
        <w:rPr>
          <w:rFonts w:hint="eastAsia" w:hAnsi="宋体" w:eastAsia="宋体"/>
          <w:b/>
          <w:color w:val="auto"/>
          <w:sz w:val="21"/>
          <w:szCs w:val="21"/>
          <w:highlight w:val="none"/>
          <w:shd w:val="clear" w:color="auto" w:fill="auto"/>
        </w:rPr>
        <w:t xml:space="preserve">附件2、磋商响应函</w:t>
      </w:r>
      <w:r/>
    </w:p>
    <w:p>
      <w:pPr>
        <w:pStyle w:val="973"/>
        <w:jc w:val="center"/>
        <w:spacing w:line="380" w:lineRule="exact"/>
        <w:rPr>
          <w:rFonts w:hint="eastAsia" w:hAnsi="宋体" w:eastAsia="宋体"/>
          <w:b/>
          <w:color w:val="auto"/>
          <w:sz w:val="21"/>
          <w:szCs w:val="21"/>
          <w:highlight w:val="none"/>
          <w:shd w:val="clear" w:color="auto" w:fill="auto"/>
        </w:rPr>
      </w:pPr>
      <w:r>
        <w:rPr>
          <w:rFonts w:hint="eastAsia" w:hAnsi="宋体" w:eastAsia="宋体"/>
          <w:b/>
          <w:color w:val="auto"/>
          <w:sz w:val="21"/>
          <w:szCs w:val="21"/>
          <w:highlight w:val="none"/>
          <w:shd w:val="clear" w:color="auto" w:fill="auto"/>
        </w:rPr>
        <w:t xml:space="preserve">磋商响应函</w:t>
      </w:r>
      <w:r/>
    </w:p>
    <w:p>
      <w:pPr>
        <w:pStyle w:val="973"/>
        <w:jc w:val="center"/>
        <w:spacing w:line="380" w:lineRule="exact"/>
        <w:rPr>
          <w:rFonts w:hint="eastAsia" w:hAnsi="宋体" w:eastAsia="宋体"/>
          <w:color w:val="auto"/>
          <w:sz w:val="24"/>
          <w:highlight w:val="none"/>
          <w:shd w:val="clear" w:color="auto" w:fill="auto"/>
        </w:rPr>
      </w:pPr>
      <w:r>
        <w:rPr>
          <w:rFonts w:hint="eastAsia" w:hAnsi="宋体" w:eastAsia="宋体"/>
          <w:color w:val="auto"/>
          <w:sz w:val="24"/>
          <w:highlight w:val="none"/>
          <w:shd w:val="clear" w:color="auto" w:fill="auto"/>
        </w:rPr>
      </w:r>
      <w:r/>
    </w:p>
    <w:p>
      <w:pPr>
        <w:pStyle w:val="973"/>
        <w:spacing w:line="380" w:lineRule="exact"/>
        <w:rPr>
          <w:rFonts w:hint="eastAsia" w:hAnsi="宋体" w:eastAsia="宋体"/>
          <w:color w:val="auto"/>
          <w:sz w:val="21"/>
          <w:szCs w:val="21"/>
          <w:highlight w:val="none"/>
          <w:shd w:val="clear" w:color="auto" w:fill="auto"/>
        </w:rPr>
      </w:pPr>
      <w:r>
        <w:rPr>
          <w:rFonts w:hint="eastAsia" w:hAnsi="宋体" w:eastAsia="宋体"/>
          <w:color w:val="auto"/>
          <w:sz w:val="24"/>
          <w:highlight w:val="none"/>
          <w:shd w:val="clear" w:color="auto" w:fill="auto"/>
        </w:rPr>
        <w:t xml:space="preserve"> </w:t>
      </w:r>
      <w:r>
        <w:rPr>
          <w:rFonts w:hint="eastAsia" w:hAnsi="宋体" w:eastAsia="宋体"/>
          <w:color w:val="auto"/>
          <w:sz w:val="24"/>
          <w:highlight w:val="none"/>
          <w:u w:val="single"/>
          <w:shd w:val="clear" w:color="auto" w:fill="auto"/>
        </w:rPr>
        <w:t xml:space="preserve"> </w:t>
      </w:r>
      <w:r>
        <w:rPr>
          <w:rFonts w:hint="eastAsia" w:hAnsi="宋体" w:eastAsia="宋体"/>
          <w:color w:val="auto"/>
          <w:sz w:val="21"/>
          <w:szCs w:val="21"/>
          <w:highlight w:val="none"/>
          <w:u w:val="single"/>
          <w:shd w:val="clear" w:color="auto" w:fill="auto"/>
        </w:rPr>
        <w:t xml:space="preserve">  苏州市原鑫招投标咨询服务有限公司   </w:t>
      </w:r>
      <w:r>
        <w:rPr>
          <w:rFonts w:hint="eastAsia" w:hAnsi="宋体" w:eastAsia="宋体"/>
          <w:color w:val="auto"/>
          <w:sz w:val="21"/>
          <w:szCs w:val="21"/>
          <w:highlight w:val="none"/>
          <w:shd w:val="clear" w:color="auto" w:fill="auto"/>
        </w:rPr>
        <w:t xml:space="preserve">：</w:t>
      </w:r>
      <w:r>
        <w:rPr>
          <w:rFonts w:hAnsi="宋体" w:eastAsia="宋体"/>
          <w:color w:val="auto"/>
          <w:sz w:val="21"/>
          <w:szCs w:val="21"/>
          <w:highlight w:val="none"/>
          <w:shd w:val="clear" w:color="auto" w:fill="auto"/>
        </w:rPr>
        <w:t xml:space="preserve"> </w:t>
      </w:r>
      <w:r/>
    </w:p>
    <w:p>
      <w:pPr>
        <w:pStyle w:val="973"/>
        <w:spacing w:line="380" w:lineRule="exact"/>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r>
      <w:r/>
    </w:p>
    <w:p>
      <w:pPr>
        <w:pStyle w:val="1139"/>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我们收到贵公司</w:t>
      </w:r>
      <w:r>
        <w:rPr>
          <w:rFonts w:hint="eastAsia" w:hAnsi="宋体" w:eastAsia="宋体"/>
          <w:color w:val="auto"/>
          <w:sz w:val="21"/>
          <w:szCs w:val="21"/>
          <w:highlight w:val="none"/>
          <w:u w:val="single"/>
          <w:shd w:val="clear" w:color="auto" w:fill="auto"/>
        </w:rPr>
        <w:t xml:space="preserve">   </w:t>
      </w:r>
      <w:r>
        <w:rPr>
          <w:rFonts w:hint="eastAsia" w:hAnsi="宋体" w:eastAsia="宋体"/>
          <w:color w:val="auto"/>
          <w:sz w:val="21"/>
          <w:szCs w:val="21"/>
          <w:highlight w:val="none"/>
          <w:u w:val="single"/>
          <w:shd w:val="clear" w:color="auto" w:fill="auto"/>
          <w:lang w:eastAsia="zh-CN"/>
        </w:rPr>
        <w:t xml:space="preserve">JSZC-320500-SZYX-C2025-0083</w:t>
      </w:r>
      <w:r>
        <w:rPr>
          <w:rFonts w:hint="eastAsia" w:hAnsi="宋体" w:eastAsia="宋体"/>
          <w:color w:val="auto"/>
          <w:sz w:val="21"/>
          <w:szCs w:val="21"/>
          <w:highlight w:val="none"/>
          <w:u w:val="single"/>
          <w:shd w:val="clear" w:color="auto" w:fill="auto"/>
        </w:rPr>
        <w:t xml:space="preserve">  </w:t>
      </w:r>
      <w:r>
        <w:rPr>
          <w:rFonts w:hint="eastAsia" w:hAnsi="宋体" w:eastAsia="宋体"/>
          <w:color w:val="auto"/>
          <w:sz w:val="21"/>
          <w:szCs w:val="21"/>
          <w:highlight w:val="none"/>
          <w:shd w:val="clear" w:color="auto" w:fill="auto"/>
        </w:rPr>
        <w:t xml:space="preserve">号磋商文件，经仔细阅读和研究，我们决定参加磋商活动。</w:t>
      </w:r>
      <w:r/>
    </w:p>
    <w:p>
      <w:pPr>
        <w:pStyle w:val="1139"/>
        <w:ind w:firstLine="420"/>
        <w:spacing w:line="360" w:lineRule="auto"/>
        <w:rPr>
          <w:rFonts w:hint="eastAsia" w:hAnsi="宋体" w:eastAsia="宋体"/>
          <w:b/>
          <w:color w:val="auto"/>
          <w:sz w:val="21"/>
          <w:szCs w:val="21"/>
          <w:highlight w:val="none"/>
          <w:shd w:val="clear" w:color="auto" w:fill="auto"/>
        </w:rPr>
      </w:pPr>
      <w:r>
        <w:rPr>
          <w:rFonts w:hAnsi="宋体" w:eastAsia="宋体"/>
          <w:color w:val="auto"/>
          <w:sz w:val="21"/>
          <w:szCs w:val="21"/>
          <w:highlight w:val="none"/>
          <w:shd w:val="clear" w:color="auto" w:fill="auto"/>
        </w:rPr>
        <w:t xml:space="preserve">1</w:t>
      </w:r>
      <w:r>
        <w:rPr>
          <w:rFonts w:hint="eastAsia" w:hAnsi="宋体" w:eastAsia="宋体"/>
          <w:color w:val="auto"/>
          <w:sz w:val="21"/>
          <w:szCs w:val="21"/>
          <w:highlight w:val="none"/>
          <w:shd w:val="clear" w:color="auto" w:fill="auto"/>
        </w:rPr>
        <w:t xml:space="preserve">、我们愿意按照磋商文件的一切要求，完成该项目的全部内容。</w:t>
      </w:r>
      <w:r/>
    </w:p>
    <w:p>
      <w:pPr>
        <w:pStyle w:val="1139"/>
        <w:ind w:firstLine="420"/>
        <w:spacing w:line="360" w:lineRule="auto"/>
        <w:rPr>
          <w:rFonts w:hint="eastAsia" w:hAnsi="宋体" w:eastAsia="宋体"/>
          <w:color w:val="auto"/>
          <w:sz w:val="21"/>
          <w:szCs w:val="21"/>
          <w:highlight w:val="none"/>
          <w:shd w:val="clear" w:color="auto" w:fill="auto"/>
        </w:rPr>
      </w:pPr>
      <w:r>
        <w:rPr>
          <w:rFonts w:hAnsi="宋体" w:eastAsia="宋体"/>
          <w:color w:val="auto"/>
          <w:sz w:val="21"/>
          <w:szCs w:val="21"/>
          <w:highlight w:val="none"/>
          <w:shd w:val="clear" w:color="auto" w:fill="auto"/>
        </w:rPr>
        <w:t xml:space="preserve">2</w:t>
      </w:r>
      <w:r>
        <w:rPr>
          <w:rFonts w:hint="eastAsia" w:hAnsi="宋体" w:eastAsia="宋体"/>
          <w:color w:val="auto"/>
          <w:sz w:val="21"/>
          <w:szCs w:val="21"/>
          <w:highlight w:val="none"/>
          <w:shd w:val="clear" w:color="auto" w:fill="auto"/>
        </w:rPr>
        <w:t xml:space="preserve">、如果我们的磋商响应文件被接受，我们将严格履行磋商文件中规定的每一项要求，按期、按质、按量履行合同的义务。</w:t>
      </w:r>
      <w:r/>
    </w:p>
    <w:p>
      <w:pPr>
        <w:pStyle w:val="1139"/>
        <w:ind w:firstLine="420"/>
        <w:spacing w:line="360" w:lineRule="auto"/>
        <w:rPr>
          <w:rFonts w:hint="eastAsia" w:hAnsi="宋体" w:eastAsia="宋体"/>
          <w:color w:val="auto"/>
          <w:sz w:val="21"/>
          <w:szCs w:val="21"/>
          <w:highlight w:val="none"/>
          <w:shd w:val="clear" w:color="auto" w:fill="auto"/>
        </w:rPr>
      </w:pPr>
      <w:r>
        <w:rPr>
          <w:rFonts w:hAnsi="宋体" w:eastAsia="宋体"/>
          <w:color w:val="auto"/>
          <w:sz w:val="21"/>
          <w:szCs w:val="21"/>
          <w:highlight w:val="none"/>
          <w:shd w:val="clear" w:color="auto" w:fill="auto"/>
        </w:rPr>
        <w:t xml:space="preserve">3</w:t>
      </w:r>
      <w:r>
        <w:rPr>
          <w:rFonts w:hint="eastAsia" w:hAnsi="宋体" w:eastAsia="宋体"/>
          <w:color w:val="auto"/>
          <w:sz w:val="21"/>
          <w:szCs w:val="21"/>
          <w:highlight w:val="none"/>
          <w:shd w:val="clear" w:color="auto" w:fill="auto"/>
        </w:rPr>
        <w:t xml:space="preserve">、我们已</w:t>
      </w:r>
      <w:r>
        <w:rPr>
          <w:rFonts w:hAnsi="宋体" w:eastAsia="宋体"/>
          <w:color w:val="auto"/>
          <w:sz w:val="21"/>
          <w:szCs w:val="21"/>
          <w:highlight w:val="none"/>
          <w:shd w:val="clear" w:color="auto" w:fill="auto"/>
        </w:rPr>
        <w:t xml:space="preserve">详细</w:t>
      </w:r>
      <w:r>
        <w:rPr>
          <w:rFonts w:hint="eastAsia" w:hAnsi="宋体" w:eastAsia="宋体"/>
          <w:color w:val="auto"/>
          <w:sz w:val="21"/>
          <w:szCs w:val="21"/>
          <w:highlight w:val="none"/>
          <w:shd w:val="clear" w:color="auto" w:fill="auto"/>
        </w:rPr>
        <w:t xml:space="preserve">阅读</w:t>
      </w:r>
      <w:r>
        <w:rPr>
          <w:rFonts w:hAnsi="宋体" w:eastAsia="宋体"/>
          <w:color w:val="auto"/>
          <w:sz w:val="21"/>
          <w:szCs w:val="21"/>
          <w:highlight w:val="none"/>
          <w:shd w:val="clear" w:color="auto" w:fill="auto"/>
        </w:rPr>
        <w:t xml:space="preserve">全部</w:t>
      </w:r>
      <w:r>
        <w:rPr>
          <w:rFonts w:hint="eastAsia" w:hAnsi="宋体" w:eastAsia="宋体"/>
          <w:color w:val="auto"/>
          <w:sz w:val="21"/>
          <w:szCs w:val="21"/>
          <w:highlight w:val="none"/>
          <w:shd w:val="clear" w:color="auto" w:fill="auto"/>
        </w:rPr>
        <w:t xml:space="preserve">磋商文件</w:t>
      </w:r>
      <w:r>
        <w:rPr>
          <w:rFonts w:hAnsi="宋体" w:eastAsia="宋体"/>
          <w:color w:val="auto"/>
          <w:sz w:val="21"/>
          <w:szCs w:val="21"/>
          <w:highlight w:val="none"/>
          <w:shd w:val="clear" w:color="auto" w:fill="auto"/>
        </w:rPr>
        <w:t xml:space="preserve">，包括</w:t>
      </w:r>
      <w:r>
        <w:rPr>
          <w:rFonts w:hint="eastAsia" w:hAnsi="宋体" w:eastAsia="宋体"/>
          <w:color w:val="auto"/>
          <w:sz w:val="21"/>
          <w:szCs w:val="21"/>
          <w:highlight w:val="none"/>
          <w:shd w:val="clear" w:color="auto" w:fill="auto"/>
        </w:rPr>
        <w:t xml:space="preserve">更正公告</w:t>
      </w:r>
      <w:r>
        <w:rPr>
          <w:rFonts w:hAnsi="宋体" w:eastAsia="宋体"/>
          <w:color w:val="auto"/>
          <w:sz w:val="21"/>
          <w:szCs w:val="21"/>
          <w:highlight w:val="none"/>
          <w:shd w:val="clear" w:color="auto" w:fill="auto"/>
        </w:rPr>
        <w:t xml:space="preserve">(如有)</w:t>
      </w:r>
      <w:r>
        <w:rPr>
          <w:rFonts w:hint="eastAsia" w:hAnsi="宋体" w:eastAsia="宋体"/>
          <w:color w:val="auto"/>
          <w:sz w:val="21"/>
          <w:szCs w:val="21"/>
          <w:highlight w:val="none"/>
          <w:shd w:val="clear" w:color="auto" w:fill="auto"/>
        </w:rPr>
        <w:t xml:space="preserve">，对磋商文件及更正公告</w:t>
      </w:r>
      <w:r>
        <w:rPr>
          <w:rFonts w:hAnsi="宋体" w:eastAsia="宋体"/>
          <w:color w:val="auto"/>
          <w:sz w:val="21"/>
          <w:szCs w:val="21"/>
          <w:highlight w:val="none"/>
          <w:shd w:val="clear" w:color="auto" w:fill="auto"/>
        </w:rPr>
        <w:t xml:space="preserve">(如有)</w:t>
      </w:r>
      <w:r>
        <w:rPr>
          <w:rFonts w:hint="eastAsia" w:hAnsi="宋体" w:eastAsia="宋体"/>
          <w:color w:val="auto"/>
          <w:sz w:val="21"/>
          <w:szCs w:val="21"/>
          <w:highlight w:val="none"/>
          <w:shd w:val="clear" w:color="auto" w:fill="auto"/>
        </w:rPr>
        <w:t xml:space="preserve">无任何异议。</w:t>
      </w:r>
      <w:r/>
    </w:p>
    <w:p>
      <w:pPr>
        <w:pStyle w:val="1139"/>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4、我们同意按磋商文件中的规定，本响应文件的有效期限自提交响应文件截止时间之日起</w:t>
      </w:r>
      <w:r>
        <w:rPr>
          <w:rFonts w:hint="eastAsia" w:hAnsi="宋体" w:eastAsia="宋体"/>
          <w:color w:val="auto"/>
          <w:sz w:val="21"/>
          <w:szCs w:val="21"/>
          <w:highlight w:val="none"/>
          <w:u w:val="single"/>
          <w:shd w:val="clear" w:color="auto" w:fill="auto"/>
        </w:rPr>
        <w:t xml:space="preserve">60</w:t>
      </w:r>
      <w:r>
        <w:rPr>
          <w:rFonts w:hint="eastAsia" w:hAnsi="宋体" w:eastAsia="宋体"/>
          <w:color w:val="auto"/>
          <w:sz w:val="21"/>
          <w:szCs w:val="21"/>
          <w:highlight w:val="none"/>
          <w:shd w:val="clear" w:color="auto" w:fill="auto"/>
        </w:rPr>
        <w:t xml:space="preserve">天。</w:t>
      </w:r>
      <w:r/>
    </w:p>
    <w:p>
      <w:pPr>
        <w:pStyle w:val="1139"/>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5、我们愿意提供磋商</w:t>
      </w:r>
      <w:r>
        <w:rPr>
          <w:rFonts w:hint="eastAsia" w:hAnsi="宋体" w:eastAsia="宋体"/>
          <w:color w:val="auto"/>
          <w:sz w:val="21"/>
          <w:szCs w:val="21"/>
          <w:highlight w:val="none"/>
          <w:shd w:val="clear" w:color="auto" w:fill="auto"/>
          <w:lang w:eastAsia="zh-CN"/>
        </w:rPr>
        <w:t xml:space="preserve">采购人</w:t>
      </w:r>
      <w:r>
        <w:rPr>
          <w:rFonts w:hint="eastAsia" w:hAnsi="宋体" w:eastAsia="宋体"/>
          <w:color w:val="auto"/>
          <w:sz w:val="21"/>
          <w:szCs w:val="21"/>
          <w:highlight w:val="none"/>
          <w:shd w:val="clear" w:color="auto" w:fill="auto"/>
        </w:rPr>
        <w:t xml:space="preserve">在磋商文件中要求的相关资料。</w:t>
      </w:r>
      <w:r/>
    </w:p>
    <w:p>
      <w:pPr>
        <w:pStyle w:val="1139"/>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6、我们愿意遵守磋商文件中所列的收费标准。</w:t>
      </w:r>
      <w:r/>
    </w:p>
    <w:p>
      <w:pPr>
        <w:pStyle w:val="1139"/>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7、我们承诺该响应文件在磋商开始后的全过程中保持有效，不作任何更改和变动。</w:t>
      </w:r>
      <w:r/>
    </w:p>
    <w:p>
      <w:pPr>
        <w:pStyle w:val="1139"/>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8、我们承诺我公司符合磋商文件中“合格供应商的基本、特定条件”的要求，若与真实情况不符，本公司愿意承担由此而产生的一切后果。</w:t>
      </w:r>
      <w:r/>
    </w:p>
    <w:p>
      <w:pPr>
        <w:pStyle w:val="1139"/>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9、所有有关磋商文件的函电，请按下列地址联系：</w:t>
      </w:r>
      <w:r/>
    </w:p>
    <w:p>
      <w:pPr>
        <w:pStyle w:val="1139"/>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单位：                             联系人：</w:t>
      </w:r>
      <w:r/>
    </w:p>
    <w:p>
      <w:pPr>
        <w:pStyle w:val="1139"/>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地址：                             邮政编码：</w:t>
      </w:r>
      <w:r/>
    </w:p>
    <w:p>
      <w:pPr>
        <w:pStyle w:val="1139"/>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联系电话：                         传真：</w:t>
      </w:r>
      <w:r/>
    </w:p>
    <w:p>
      <w:pPr>
        <w:pStyle w:val="1139"/>
        <w:ind w:left="3399" w:firstLine="735"/>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供应商：（公章）</w:t>
      </w:r>
      <w:r/>
    </w:p>
    <w:p>
      <w:pPr>
        <w:pStyle w:val="1139"/>
        <w:ind w:left="3824" w:firstLine="315"/>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法定代表人或代理人：（签字或盖章）</w:t>
      </w:r>
      <w:r/>
    </w:p>
    <w:p>
      <w:pPr>
        <w:pStyle w:val="1139"/>
        <w:ind w:left="3399" w:firstLine="735"/>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日期：         年</w:t>
      </w:r>
      <w:r>
        <w:rPr>
          <w:rFonts w:hAnsi="宋体" w:eastAsia="宋体"/>
          <w:color w:val="auto"/>
          <w:sz w:val="21"/>
          <w:szCs w:val="21"/>
          <w:highlight w:val="none"/>
          <w:shd w:val="clear" w:color="auto" w:fill="auto"/>
        </w:rPr>
        <w:t xml:space="preserve">     </w:t>
      </w:r>
      <w:r>
        <w:rPr>
          <w:rFonts w:hint="eastAsia" w:hAnsi="宋体" w:eastAsia="宋体"/>
          <w:color w:val="auto"/>
          <w:sz w:val="21"/>
          <w:szCs w:val="21"/>
          <w:highlight w:val="none"/>
          <w:shd w:val="clear" w:color="auto" w:fill="auto"/>
        </w:rPr>
        <w:t xml:space="preserve">月</w:t>
      </w:r>
      <w:r>
        <w:rPr>
          <w:rFonts w:hAnsi="宋体" w:eastAsia="宋体"/>
          <w:color w:val="auto"/>
          <w:sz w:val="21"/>
          <w:szCs w:val="21"/>
          <w:highlight w:val="none"/>
          <w:shd w:val="clear" w:color="auto" w:fill="auto"/>
        </w:rPr>
        <w:t xml:space="preserve">     </w:t>
      </w:r>
      <w:r>
        <w:rPr>
          <w:rFonts w:hint="eastAsia" w:hAnsi="宋体" w:eastAsia="宋体"/>
          <w:color w:val="auto"/>
          <w:sz w:val="21"/>
          <w:szCs w:val="21"/>
          <w:highlight w:val="none"/>
          <w:shd w:val="clear" w:color="auto" w:fill="auto"/>
        </w:rPr>
        <w:t xml:space="preserve">日</w:t>
      </w:r>
      <w:r/>
    </w:p>
    <w:p>
      <w:pPr>
        <w:pStyle w:val="973"/>
        <w:rPr>
          <w:rFonts w:hint="eastAsia" w:hAnsi="宋体" w:eastAsia="宋体"/>
          <w:b/>
          <w:color w:val="auto"/>
          <w:sz w:val="21"/>
          <w:szCs w:val="21"/>
          <w:highlight w:val="none"/>
          <w:shd w:val="clear" w:color="auto" w:fill="auto"/>
        </w:rPr>
      </w:pPr>
      <w:r>
        <w:rPr>
          <w:rFonts w:hAnsi="宋体" w:eastAsia="宋体"/>
          <w:b/>
          <w:color w:val="auto"/>
          <w:sz w:val="24"/>
          <w:szCs w:val="24"/>
          <w:highlight w:val="none"/>
          <w:shd w:val="clear" w:color="auto" w:fill="auto"/>
        </w:rPr>
        <w:br w:type="page" w:clear="all"/>
      </w:r>
      <w:r>
        <w:rPr>
          <w:rFonts w:hint="eastAsia" w:hAnsi="宋体" w:eastAsia="宋体"/>
          <w:b/>
          <w:color w:val="auto"/>
          <w:sz w:val="21"/>
          <w:szCs w:val="21"/>
          <w:highlight w:val="none"/>
          <w:shd w:val="clear" w:color="auto" w:fill="auto"/>
        </w:rPr>
        <w:t xml:space="preserve">附件</w:t>
      </w:r>
      <w:r>
        <w:rPr>
          <w:rFonts w:hAnsi="宋体" w:eastAsia="宋体"/>
          <w:b/>
          <w:color w:val="auto"/>
          <w:sz w:val="21"/>
          <w:szCs w:val="21"/>
          <w:highlight w:val="none"/>
          <w:shd w:val="clear" w:color="auto" w:fill="auto"/>
        </w:rPr>
        <w:t xml:space="preserve">3</w:t>
      </w:r>
      <w:r>
        <w:rPr>
          <w:rFonts w:hint="eastAsia" w:hAnsi="宋体" w:eastAsia="宋体"/>
          <w:b/>
          <w:color w:val="auto"/>
          <w:sz w:val="21"/>
          <w:szCs w:val="21"/>
          <w:highlight w:val="none"/>
          <w:shd w:val="clear" w:color="auto" w:fill="auto"/>
        </w:rPr>
        <w:t xml:space="preserve">、报价表</w:t>
      </w:r>
      <w:r/>
    </w:p>
    <w:p>
      <w:pPr>
        <w:pStyle w:val="1139"/>
        <w:jc w:val="center"/>
        <w:rPr>
          <w:rFonts w:hint="eastAsia" w:hAnsi="宋体" w:eastAsia="宋体"/>
          <w:b/>
          <w:color w:val="auto"/>
          <w:sz w:val="21"/>
          <w:szCs w:val="21"/>
          <w:highlight w:val="none"/>
          <w:shd w:val="clear" w:color="auto" w:fill="auto"/>
        </w:rPr>
      </w:pPr>
      <w:r>
        <w:rPr>
          <w:rFonts w:hint="eastAsia" w:hAnsi="宋体" w:eastAsia="宋体"/>
          <w:b/>
          <w:color w:val="auto"/>
          <w:sz w:val="21"/>
          <w:szCs w:val="21"/>
          <w:highlight w:val="none"/>
          <w:shd w:val="clear" w:color="auto" w:fill="auto"/>
        </w:rPr>
        <w:t xml:space="preserve">磋商报价表</w:t>
      </w:r>
      <w:r/>
    </w:p>
    <w:p>
      <w:pPr>
        <w:pStyle w:val="1139"/>
        <w:jc w:val="center"/>
        <w:rPr>
          <w:rFonts w:hint="eastAsia" w:hAnsi="宋体" w:eastAsia="宋体"/>
          <w:b/>
          <w:color w:val="auto"/>
          <w:sz w:val="21"/>
          <w:szCs w:val="21"/>
          <w:highlight w:val="none"/>
          <w:shd w:val="clear" w:color="auto" w:fill="auto"/>
        </w:rPr>
      </w:pPr>
      <w:r>
        <w:rPr>
          <w:rFonts w:hint="eastAsia" w:hAnsi="宋体" w:eastAsia="宋体"/>
          <w:b/>
          <w:color w:val="auto"/>
          <w:sz w:val="21"/>
          <w:szCs w:val="21"/>
          <w:highlight w:val="none"/>
          <w:shd w:val="clear" w:color="auto" w:fill="auto"/>
        </w:rPr>
      </w:r>
      <w:r/>
    </w:p>
    <w:tbl>
      <w:tblPr>
        <w:tblStyle w:val="955"/>
        <w:tblW w:w="9220" w:type="dxa"/>
        <w:tblInd w:w="507" w:type="dxa"/>
        <w:tblLayout w:type="fixed"/>
        <w:tblCellMar>
          <w:left w:w="108" w:type="dxa"/>
          <w:top w:w="0" w:type="dxa"/>
          <w:right w:w="108" w:type="dxa"/>
          <w:bottom w:w="0" w:type="dxa"/>
        </w:tblCellMar>
        <w:tblLook w:val="04A0" w:firstRow="1" w:lastRow="0" w:firstColumn="1" w:lastColumn="0" w:noHBand="0" w:noVBand="1"/>
      </w:tblPr>
      <w:tblGrid>
        <w:gridCol w:w="5213"/>
        <w:gridCol w:w="2325"/>
        <w:gridCol w:w="1682"/>
      </w:tblGrid>
      <w:tr>
        <w:trPr>
          <w:trHeight w:val="567"/>
        </w:trPr>
        <w:tc>
          <w:tcPr>
            <w:tcBorders>
              <w:top w:val="single" w:color="auto" w:sz="4" w:space="0"/>
              <w:left w:val="single" w:color="auto" w:sz="4" w:space="0"/>
              <w:bottom w:val="single" w:color="auto" w:sz="4" w:space="0"/>
              <w:right w:val="single" w:color="auto" w:sz="4" w:space="0"/>
            </w:tcBorders>
            <w:tcW w:w="5213" w:type="dxa"/>
            <w:vAlign w:val="center"/>
            <w:textDirection w:val="lrTb"/>
            <w:noWrap w:val="false"/>
          </w:tcPr>
          <w:p>
            <w:pPr>
              <w:jc w:val="center"/>
              <w:rPr>
                <w:rFonts w:cs="宋体"/>
                <w:color w:val="auto"/>
                <w:highlight w:val="none"/>
                <w:shd w:val="clear" w:color="auto" w:fill="auto"/>
              </w:rPr>
            </w:pPr>
            <w:r>
              <w:rPr>
                <w:rFonts w:hint="eastAsia"/>
                <w:color w:val="auto"/>
                <w:highlight w:val="none"/>
                <w:shd w:val="clear" w:color="auto" w:fill="auto"/>
              </w:rPr>
              <w:t xml:space="preserve">投标人名称</w:t>
            </w:r>
            <w:r/>
          </w:p>
        </w:tc>
        <w:tc>
          <w:tcPr>
            <w:tcBorders>
              <w:top w:val="single" w:color="auto" w:sz="4" w:space="0"/>
              <w:left w:val="none" w:color="000000" w:sz="4" w:space="0"/>
              <w:bottom w:val="single" w:color="auto" w:sz="4" w:space="0"/>
              <w:right w:val="single" w:color="auto" w:sz="4" w:space="0"/>
            </w:tcBorders>
            <w:tcW w:w="2325" w:type="dxa"/>
            <w:vAlign w:val="center"/>
            <w:textDirection w:val="lrTb"/>
            <w:noWrap w:val="false"/>
          </w:tcPr>
          <w:p>
            <w:pPr>
              <w:jc w:val="center"/>
              <w:spacing w:line="360" w:lineRule="auto"/>
              <w:widowControl/>
              <w:rPr>
                <w:rFonts w:cs="宋体"/>
                <w:color w:val="auto"/>
                <w:highlight w:val="none"/>
                <w:shd w:val="clear" w:color="auto" w:fill="auto"/>
              </w:rPr>
            </w:pPr>
            <w:r>
              <w:rPr>
                <w:rFonts w:hint="eastAsia" w:cs="宋体"/>
                <w:color w:val="auto"/>
                <w:highlight w:val="none"/>
                <w:shd w:val="clear" w:color="auto" w:fill="auto"/>
                <w:lang w:val="en-US" w:eastAsia="zh-CN"/>
              </w:rPr>
              <w:t xml:space="preserve">磋商总</w:t>
            </w:r>
            <w:r>
              <w:rPr>
                <w:rFonts w:hint="eastAsia" w:cs="宋体"/>
                <w:color w:val="auto"/>
                <w:highlight w:val="none"/>
                <w:shd w:val="clear" w:color="auto" w:fill="auto"/>
              </w:rPr>
              <w:t xml:space="preserve">报价（元）</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auto"/>
              <w:widowControl/>
              <w:rPr>
                <w:rFonts w:cs="宋体"/>
                <w:bCs/>
                <w:color w:val="auto"/>
                <w:highlight w:val="none"/>
                <w:shd w:val="clear" w:color="auto" w:fill="auto"/>
              </w:rPr>
            </w:pPr>
            <w:r>
              <w:rPr>
                <w:rFonts w:hint="eastAsia" w:cs="宋体"/>
                <w:bCs/>
                <w:color w:val="auto"/>
                <w:highlight w:val="none"/>
                <w:shd w:val="clear" w:color="auto" w:fill="auto"/>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5213" w:type="dxa"/>
            <w:vAlign w:val="center"/>
            <w:textDirection w:val="lrTb"/>
            <w:noWrap w:val="false"/>
          </w:tcPr>
          <w:p>
            <w:pPr>
              <w:jc w:val="center"/>
              <w:spacing w:line="360" w:lineRule="auto"/>
              <w:widowControl/>
              <w:rPr>
                <w:rFonts w:cs="宋体"/>
                <w:color w:val="auto"/>
                <w:highlight w:val="none"/>
                <w:shd w:val="clear" w:color="auto" w:fill="auto"/>
              </w:rPr>
            </w:pPr>
            <w:r>
              <w:rPr>
                <w:rFonts w:cs="宋体"/>
                <w:color w:val="auto"/>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2325" w:type="dxa"/>
            <w:vAlign w:val="center"/>
            <w:textDirection w:val="lrTb"/>
            <w:noWrap w:val="false"/>
          </w:tcPr>
          <w:p>
            <w:pPr>
              <w:jc w:val="center"/>
              <w:spacing w:line="360" w:lineRule="auto"/>
              <w:widowControl/>
              <w:rPr>
                <w:rFonts w:cs="宋体"/>
                <w:color w:val="auto"/>
                <w:highlight w:val="none"/>
                <w:shd w:val="clear" w:color="auto" w:fill="auto"/>
              </w:rPr>
            </w:pPr>
            <w:r>
              <w:rPr>
                <w:rFonts w:cs="宋体"/>
                <w:color w:val="auto"/>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auto"/>
              <w:widowControl/>
              <w:rPr>
                <w:rFonts w:cs="宋体"/>
                <w:color w:val="auto"/>
                <w:highlight w:val="none"/>
                <w:shd w:val="clear" w:color="auto" w:fill="auto"/>
              </w:rPr>
            </w:pPr>
            <w:r>
              <w:rPr>
                <w:rFonts w:cs="宋体"/>
                <w:color w:val="auto"/>
                <w:highlight w:val="none"/>
                <w:shd w:val="clear" w:color="auto" w:fill="auto"/>
              </w:rPr>
            </w:r>
            <w:r/>
          </w:p>
        </w:tc>
      </w:tr>
    </w:tbl>
    <w:p>
      <w:pPr>
        <w:pStyle w:val="1139"/>
        <w:spacing w:line="360" w:lineRule="exact"/>
        <w:rPr>
          <w:rFonts w:hint="eastAsia" w:hAnsi="宋体" w:eastAsia="宋体" w:cs="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供应商：（公章）</w:t>
      </w:r>
      <w:r/>
    </w:p>
    <w:p>
      <w:pPr>
        <w:jc w:val="left"/>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法定代表人或代理人（签字或盖章）：</w:t>
      </w:r>
      <w:r/>
    </w:p>
    <w:p>
      <w:pPr>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w:t>
      </w:r>
      <w:r/>
    </w:p>
    <w:p>
      <w:pPr>
        <w:pStyle w:val="1139"/>
        <w:ind w:firstLine="525"/>
        <w:spacing w:line="360" w:lineRule="exact"/>
        <w:rPr>
          <w:rFonts w:hint="eastAsia" w:hAnsi="宋体" w:eastAsia="宋体"/>
          <w:b/>
          <w:bCs/>
          <w:color w:val="auto"/>
          <w:sz w:val="21"/>
          <w:szCs w:val="21"/>
          <w:highlight w:val="none"/>
          <w:shd w:val="clear" w:color="auto" w:fill="auto"/>
        </w:rPr>
      </w:pPr>
      <w:r>
        <w:rPr>
          <w:rFonts w:hint="eastAsia" w:hAnsi="宋体" w:eastAsia="宋体"/>
          <w:b/>
          <w:bCs/>
          <w:color w:val="auto"/>
          <w:sz w:val="21"/>
          <w:szCs w:val="21"/>
          <w:highlight w:val="none"/>
          <w:shd w:val="clear" w:color="auto" w:fill="auto"/>
        </w:rPr>
        <w:t xml:space="preserve">注：本项目按完成项目的总价进行报价。</w:t>
      </w:r>
      <w:r/>
    </w:p>
    <w:p>
      <w:pPr>
        <w:pStyle w:val="1139"/>
        <w:ind w:firstLine="525"/>
        <w:spacing w:line="360" w:lineRule="exact"/>
        <w:rPr>
          <w:rFonts w:hint="eastAsia" w:hAnsi="宋体" w:eastAsia="宋体"/>
          <w:b/>
          <w:bCs/>
          <w:color w:val="auto"/>
          <w:sz w:val="21"/>
          <w:szCs w:val="21"/>
          <w:highlight w:val="none"/>
          <w:shd w:val="clear" w:color="auto" w:fill="auto"/>
        </w:rPr>
      </w:pPr>
      <w:r>
        <w:rPr>
          <w:rFonts w:hint="eastAsia" w:hAnsi="宋体" w:eastAsia="宋体"/>
          <w:b/>
          <w:bCs/>
          <w:color w:val="auto"/>
          <w:sz w:val="21"/>
          <w:szCs w:val="21"/>
          <w:highlight w:val="none"/>
          <w:shd w:val="clear" w:color="auto" w:fill="auto"/>
        </w:rPr>
      </w:r>
      <w:r/>
    </w:p>
    <w:p>
      <w:pPr>
        <w:pStyle w:val="1139"/>
        <w:ind w:firstLine="525"/>
        <w:spacing w:line="360" w:lineRule="exact"/>
        <w:rPr>
          <w:rFonts w:hint="eastAsia" w:hAnsi="宋体" w:eastAsia="宋体"/>
          <w:b/>
          <w:bCs/>
          <w:color w:val="auto"/>
          <w:sz w:val="21"/>
          <w:szCs w:val="21"/>
          <w:highlight w:val="none"/>
          <w:shd w:val="clear" w:color="auto" w:fill="auto"/>
        </w:rPr>
      </w:pPr>
      <w:r>
        <w:rPr>
          <w:rFonts w:hint="eastAsia" w:hAnsi="宋体" w:eastAsia="宋体"/>
          <w:b/>
          <w:bCs/>
          <w:color w:val="auto"/>
          <w:sz w:val="21"/>
          <w:szCs w:val="21"/>
          <w:highlight w:val="none"/>
          <w:shd w:val="clear" w:color="auto" w:fill="auto"/>
        </w:rPr>
      </w:r>
      <w:r/>
    </w:p>
    <w:p>
      <w:pPr>
        <w:jc w:val="center"/>
        <w:spacing w:line="480" w:lineRule="auto"/>
        <w:rPr>
          <w:rFonts w:hint="eastAsia" w:ascii="宋体" w:hAnsi="宋体" w:cs="宋体"/>
          <w:color w:val="auto"/>
          <w:szCs w:val="21"/>
          <w:highlight w:val="none"/>
          <w:shd w:val="clear" w:color="auto" w:fill="auto"/>
        </w:rPr>
      </w:pPr>
      <w:r>
        <w:rPr>
          <w:rFonts w:hint="eastAsia" w:ascii="宋体" w:hAnsi="宋体" w:cs="宋体"/>
          <w:b/>
          <w:bCs/>
          <w:color w:val="auto"/>
          <w:szCs w:val="21"/>
          <w:highlight w:val="none"/>
          <w:shd w:val="clear" w:color="auto" w:fill="auto"/>
        </w:rPr>
        <w:t xml:space="preserve">磋商分项报价明细表</w:t>
      </w:r>
      <w:r/>
    </w:p>
    <w:p>
      <w:pPr>
        <w:ind w:firstLine="424"/>
        <w:jc w:val="left"/>
        <w:spacing w:line="400" w:lineRule="exact"/>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项目编号：                                                         </w:t>
      </w:r>
      <w:r/>
    </w:p>
    <w:tbl>
      <w:tblPr>
        <w:tblStyle w:val="955"/>
        <w:tblW w:w="9839" w:type="dxa"/>
        <w:tblInd w:w="49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1"/>
        <w:gridCol w:w="1520"/>
        <w:gridCol w:w="1283"/>
        <w:gridCol w:w="1833"/>
        <w:gridCol w:w="929"/>
        <w:gridCol w:w="1141"/>
        <w:gridCol w:w="1208"/>
        <w:gridCol w:w="1234"/>
      </w:tblGrid>
      <w:tr>
        <w:trPr>
          <w:cantSplit/>
          <w:trHeight w:val="567"/>
        </w:trPr>
        <w:tc>
          <w:tcPr>
            <w:tcW w:w="691" w:type="dxa"/>
            <w:vAlign w:val="center"/>
            <w:textDirection w:val="lrTb"/>
            <w:noWrap w:val="false"/>
          </w:tcPr>
          <w:p>
            <w:pPr>
              <w:jc w:val="center"/>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序号</w:t>
            </w:r>
            <w:r/>
          </w:p>
        </w:tc>
        <w:tc>
          <w:tcPr>
            <w:tcBorders>
              <w:left w:val="single" w:color="auto" w:sz="4" w:space="0"/>
              <w:right w:val="single" w:color="auto" w:sz="4" w:space="0"/>
            </w:tcBorders>
            <w:tcW w:w="1520" w:type="dxa"/>
            <w:vAlign w:val="center"/>
            <w:textDirection w:val="lrTb"/>
            <w:noWrap w:val="false"/>
          </w:tcPr>
          <w:p>
            <w:pPr>
              <w:jc w:val="center"/>
              <w:spacing w:line="240" w:lineRule="auto"/>
              <w:rPr>
                <w:rFonts w:hint="eastAsia"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项目名称</w:t>
            </w:r>
            <w:r/>
          </w:p>
        </w:tc>
        <w:tc>
          <w:tcPr>
            <w:tcBorders>
              <w:left w:val="single" w:color="auto" w:sz="4" w:space="0"/>
              <w:right w:val="single" w:color="auto" w:sz="4" w:space="0"/>
            </w:tcBorders>
            <w:tcW w:w="1283" w:type="dxa"/>
            <w:vAlign w:val="center"/>
            <w:textDirection w:val="lrTb"/>
            <w:noWrap w:val="false"/>
          </w:tcPr>
          <w:p>
            <w:pPr>
              <w:jc w:val="center"/>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运维地点</w:t>
            </w:r>
            <w:r/>
          </w:p>
        </w:tc>
        <w:tc>
          <w:tcPr>
            <w:tcBorders>
              <w:left w:val="single" w:color="auto" w:sz="4" w:space="0"/>
              <w:right w:val="single" w:color="auto" w:sz="4" w:space="0"/>
            </w:tcBorders>
            <w:tcW w:w="1833" w:type="dxa"/>
            <w:vAlign w:val="center"/>
            <w:textDirection w:val="lrTb"/>
            <w:noWrap w:val="false"/>
          </w:tcPr>
          <w:p>
            <w:pPr>
              <w:jc w:val="center"/>
              <w:spacing w:line="240" w:lineRule="auto"/>
              <w:rPr>
                <w:rFonts w:hint="default"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运维仪器名称</w:t>
            </w:r>
            <w:r/>
          </w:p>
        </w:tc>
        <w:tc>
          <w:tcPr>
            <w:tcBorders>
              <w:left w:val="single" w:color="auto" w:sz="4" w:space="0"/>
            </w:tcBorders>
            <w:tcW w:w="929" w:type="dxa"/>
            <w:vAlign w:val="center"/>
            <w:textDirection w:val="lrTb"/>
            <w:noWrap w:val="false"/>
          </w:tcPr>
          <w:p>
            <w:pPr>
              <w:jc w:val="center"/>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数量</w:t>
            </w:r>
            <w:r/>
          </w:p>
        </w:tc>
        <w:tc>
          <w:tcPr>
            <w:tcBorders>
              <w:bottom w:val="single" w:color="auto" w:sz="4" w:space="0"/>
              <w:right w:val="single" w:color="auto" w:sz="4" w:space="0"/>
            </w:tcBorders>
            <w:tcW w:w="1141" w:type="dxa"/>
            <w:vAlign w:val="center"/>
            <w:textDirection w:val="lrTb"/>
            <w:noWrap w:val="false"/>
          </w:tcPr>
          <w:p>
            <w:pPr>
              <w:jc w:val="center"/>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单价（元）</w:t>
            </w:r>
            <w:r/>
          </w:p>
        </w:tc>
        <w:tc>
          <w:tcPr>
            <w:tcBorders>
              <w:bottom w:val="single" w:color="auto" w:sz="4" w:space="0"/>
              <w:right w:val="single" w:color="auto" w:sz="4" w:space="0"/>
            </w:tcBorders>
            <w:tcW w:w="1208" w:type="dxa"/>
            <w:vAlign w:val="center"/>
            <w:textDirection w:val="lrTb"/>
            <w:noWrap w:val="false"/>
          </w:tcPr>
          <w:p>
            <w:pPr>
              <w:jc w:val="center"/>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总价（元）</w:t>
            </w:r>
            <w:r/>
          </w:p>
        </w:tc>
        <w:tc>
          <w:tcPr>
            <w:tcBorders>
              <w:left w:val="single" w:color="auto" w:sz="4" w:space="0"/>
              <w:bottom w:val="single" w:color="auto" w:sz="4" w:space="0"/>
              <w:right w:val="single" w:color="auto" w:sz="4" w:space="0"/>
            </w:tcBorders>
            <w:tcW w:w="1234" w:type="dxa"/>
            <w:vAlign w:val="center"/>
            <w:textDirection w:val="lrTb"/>
            <w:noWrap w:val="false"/>
          </w:tcPr>
          <w:p>
            <w:pPr>
              <w:jc w:val="center"/>
              <w:spacing w:line="240" w:lineRule="auto"/>
              <w:rPr>
                <w:rFonts w:hint="default"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备注</w:t>
            </w:r>
            <w:r/>
          </w:p>
        </w:tc>
      </w:tr>
      <w:tr>
        <w:trPr>
          <w:cantSplit/>
          <w:trHeight w:val="567"/>
        </w:trPr>
        <w:tc>
          <w:tcPr>
            <w:tcW w:w="691" w:type="dxa"/>
            <w:vAlign w:val="center"/>
            <w:textDirection w:val="lrTb"/>
            <w:noWrap w:val="false"/>
          </w:tcPr>
          <w:p>
            <w:pPr>
              <w:jc w:val="center"/>
              <w:spacing w:line="240" w:lineRule="auto"/>
              <w:rPr>
                <w:rFonts w:hint="eastAsia"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1</w:t>
            </w:r>
            <w:r/>
          </w:p>
        </w:tc>
        <w:tc>
          <w:tcPr>
            <w:shd w:val="clear" w:color="auto" w:fill="auto"/>
            <w:tcBorders>
              <w:left w:val="single" w:color="auto" w:sz="4" w:space="0"/>
              <w:right w:val="single" w:color="auto" w:sz="4" w:space="0"/>
            </w:tcBorders>
            <w:tcW w:w="1520" w:type="dxa"/>
            <w:vAlign w:val="center"/>
            <w:vMerge w:val="restart"/>
            <w:textDirection w:val="lrTb"/>
            <w:noWrap w:val="false"/>
          </w:tcPr>
          <w:p>
            <w:pPr>
              <w:ind w:left="0"/>
              <w:jc w:val="center"/>
              <w:spacing w:line="40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cs="宋体"/>
                <w:color w:val="auto"/>
                <w:szCs w:val="21"/>
                <w:highlight w:val="none"/>
                <w:shd w:val="clear" w:color="auto" w:fill="auto"/>
                <w:lang w:eastAsia="zh-CN"/>
              </w:rPr>
              <w:t xml:space="preserve">2026-2027年3台VOCs设备运维</w:t>
            </w:r>
            <w:r/>
          </w:p>
        </w:tc>
        <w:tc>
          <w:tcPr>
            <w:shd w:val="clear" w:color="auto" w:fill="auto"/>
            <w:tcBorders>
              <w:left w:val="single" w:color="auto" w:sz="4" w:space="0"/>
              <w:right w:val="single" w:color="auto" w:sz="4" w:space="0"/>
            </w:tcBorders>
            <w:tcW w:w="1283" w:type="dxa"/>
            <w:vAlign w:val="center"/>
            <w:vMerge w:val="restart"/>
            <w:textDirection w:val="lrTb"/>
            <w:noWrap w:val="false"/>
          </w:tcPr>
          <w:p>
            <w:pPr>
              <w:ind w:left="0"/>
              <w:jc w:val="center"/>
              <w:spacing w:line="400" w:lineRule="exact"/>
              <w:widowControl w:val="off"/>
              <w:rPr>
                <w:rFonts w:hint="eastAsia" w:ascii="宋体" w:hAnsi="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方洲公园</w:t>
            </w:r>
            <w:r/>
          </w:p>
        </w:tc>
        <w:tc>
          <w:tcPr>
            <w:shd w:val="clear" w:color="auto" w:fill="auto"/>
            <w:tcBorders>
              <w:left w:val="single" w:color="auto" w:sz="4" w:space="0"/>
              <w:right w:val="single" w:color="auto" w:sz="4" w:space="0"/>
            </w:tcBorders>
            <w:tcW w:w="183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color w:val="auto"/>
                <w:spacing w:val="0"/>
                <w:sz w:val="21"/>
                <w:szCs w:val="21"/>
                <w:highlight w:val="none"/>
                <w:lang w:val="en-US" w:eastAsia="zh-CN"/>
              </w:rPr>
              <w:outlineLvl w:val="9"/>
              <w:suppressLineNumbers w:val="0"/>
            </w:pPr>
            <w:r>
              <w:rPr>
                <w:rFonts w:hint="eastAsia" w:ascii="宋体" w:hAnsi="宋体" w:eastAsia="宋体" w:cs="宋体"/>
                <w:color w:val="auto"/>
                <w:sz w:val="21"/>
                <w:szCs w:val="21"/>
                <w:highlight w:val="none"/>
              </w:rPr>
              <w:t xml:space="preserve">在线VOCs监测仪</w:t>
            </w:r>
            <w:r/>
          </w:p>
        </w:tc>
        <w:tc>
          <w:tcPr>
            <w:shd w:val="clear" w:color="auto" w:fill="auto"/>
            <w:tcBorders>
              <w:left w:val="single" w:color="auto" w:sz="4" w:space="0"/>
            </w:tcBorders>
            <w:tcW w:w="929" w:type="dxa"/>
            <w:vAlign w:val="center"/>
            <w:textDirection w:val="lrTb"/>
            <w:noWrap w:val="false"/>
          </w:tcPr>
          <w:p>
            <w:pPr>
              <w:ind w:left="0"/>
              <w:jc w:val="center"/>
              <w:spacing w:line="400" w:lineRule="exact"/>
              <w:widowControl w:val="off"/>
              <w:rPr>
                <w:rFonts w:hint="default"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rPr>
              <w:t xml:space="preserve">12个月</w:t>
            </w:r>
            <w:r/>
          </w:p>
        </w:tc>
        <w:tc>
          <w:tcPr>
            <w:tcBorders>
              <w:top w:val="single" w:color="auto" w:sz="4" w:space="0"/>
              <w:bottom w:val="single" w:color="auto" w:sz="4" w:space="0"/>
              <w:right w:val="single" w:color="auto" w:sz="4" w:space="0"/>
            </w:tcBorders>
            <w:tcW w:w="1141" w:type="dxa"/>
            <w:vAlign w:val="center"/>
            <w:textDirection w:val="lrTb"/>
            <w:noWrap w:val="false"/>
          </w:tcPr>
          <w:p>
            <w:pPr>
              <w:ind w:firstLine="420"/>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bottom w:val="single" w:color="auto" w:sz="4" w:space="0"/>
              <w:right w:val="single" w:color="auto" w:sz="4" w:space="0"/>
            </w:tcBorders>
            <w:tcW w:w="1208" w:type="dxa"/>
            <w:vAlign w:val="center"/>
            <w:textDirection w:val="lrTb"/>
            <w:noWrap w:val="false"/>
          </w:tcPr>
          <w:p>
            <w:pPr>
              <w:ind w:firstLine="420"/>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40" w:lineRule="auto"/>
              <w:rPr>
                <w:rFonts w:hint="default" w:ascii="宋体" w:hAnsi="宋体" w:eastAsia="宋体" w:cs="宋体"/>
                <w:color w:val="auto"/>
                <w:szCs w:val="21"/>
                <w:highlight w:val="none"/>
                <w:shd w:val="clear" w:color="auto" w:fill="auto"/>
                <w:lang w:val="en-US" w:eastAsia="zh-CN"/>
              </w:rPr>
            </w:pPr>
            <w:r>
              <w:rPr>
                <w:rFonts w:hint="default" w:ascii="宋体" w:hAnsi="宋体" w:eastAsia="宋体" w:cs="宋体"/>
                <w:color w:val="auto"/>
                <w:szCs w:val="21"/>
                <w:highlight w:val="none"/>
                <w:shd w:val="clear" w:color="auto" w:fill="auto"/>
                <w:lang w:val="en-US" w:eastAsia="zh-CN"/>
              </w:rPr>
            </w:r>
            <w:r/>
          </w:p>
        </w:tc>
      </w:tr>
      <w:tr>
        <w:trPr>
          <w:cantSplit/>
          <w:trHeight w:val="567"/>
        </w:trPr>
        <w:tc>
          <w:tcPr>
            <w:tcW w:w="691" w:type="dxa"/>
            <w:vAlign w:val="center"/>
            <w:textDirection w:val="lrTb"/>
            <w:noWrap w:val="false"/>
          </w:tcPr>
          <w:p>
            <w:pPr>
              <w:jc w:val="center"/>
              <w:spacing w:line="240" w:lineRule="auto"/>
              <w:rPr>
                <w:rFonts w:hint="default"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2</w:t>
            </w:r>
            <w:r/>
          </w:p>
        </w:tc>
        <w:tc>
          <w:tcPr>
            <w:shd w:val="clear" w:color="auto" w:fill="auto"/>
            <w:tcBorders>
              <w:left w:val="single" w:color="auto" w:sz="4" w:space="0"/>
              <w:right w:val="single" w:color="auto" w:sz="4" w:space="0"/>
            </w:tcBorders>
            <w:tcW w:w="1520" w:type="dxa"/>
            <w:vAlign w:val="center"/>
            <w:vMerge w:val="continue"/>
            <w:textDirection w:val="lrTb"/>
            <w:noWrap w:val="false"/>
          </w:tcPr>
          <w:p>
            <w:pPr>
              <w:ind w:left="0"/>
              <w:jc w:val="center"/>
              <w:spacing w:line="400" w:lineRule="exact"/>
              <w:widowControl w:val="off"/>
              <w:rPr>
                <w:rFonts w:hint="eastAsia" w:ascii="宋体" w:hAnsi="宋体" w:cs="宋体"/>
                <w:color w:val="auto"/>
                <w:szCs w:val="21"/>
                <w:highlight w:val="none"/>
                <w:shd w:val="clear" w:color="auto" w:fill="auto"/>
                <w:lang w:eastAsia="zh-CN"/>
              </w:rPr>
            </w:pPr>
            <w:r>
              <w:rPr>
                <w:rFonts w:hint="eastAsia" w:ascii="宋体" w:hAnsi="宋体" w:cs="宋体"/>
                <w:color w:val="auto"/>
                <w:szCs w:val="21"/>
                <w:highlight w:val="none"/>
                <w:shd w:val="clear" w:color="auto" w:fill="auto"/>
                <w:lang w:eastAsia="zh-CN"/>
              </w:rPr>
            </w:r>
            <w:r/>
          </w:p>
        </w:tc>
        <w:tc>
          <w:tcPr>
            <w:shd w:val="clear" w:color="auto" w:fill="auto"/>
            <w:tcBorders>
              <w:left w:val="single" w:color="auto" w:sz="4" w:space="0"/>
              <w:right w:val="single" w:color="auto" w:sz="4" w:space="0"/>
            </w:tcBorders>
            <w:tcW w:w="1283" w:type="dxa"/>
            <w:vAlign w:val="center"/>
            <w:vMerge w:val="continue"/>
            <w:textDirection w:val="lrTb"/>
            <w:noWrap w:val="false"/>
          </w:tcPr>
          <w:p>
            <w:pPr>
              <w:ind w:left="0"/>
              <w:jc w:val="center"/>
              <w:spacing w:line="400" w:lineRule="exact"/>
              <w:widowControl w:val="off"/>
              <w:rPr>
                <w:rFonts w:hint="eastAsia" w:ascii="宋体" w:hAnsi="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r>
            <w:r/>
          </w:p>
        </w:tc>
        <w:tc>
          <w:tcPr>
            <w:shd w:val="clear" w:color="auto" w:fill="auto"/>
            <w:tcBorders>
              <w:left w:val="single" w:color="auto" w:sz="4" w:space="0"/>
              <w:right w:val="single" w:color="auto" w:sz="4" w:space="0"/>
            </w:tcBorders>
            <w:tcW w:w="183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color w:val="auto"/>
                <w:spacing w:val="0"/>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太阳辐射紫外辐射监测系统</w:t>
            </w:r>
            <w:r/>
          </w:p>
        </w:tc>
        <w:tc>
          <w:tcPr>
            <w:shd w:val="clear" w:color="auto" w:fill="auto"/>
            <w:tcBorders>
              <w:left w:val="single" w:color="auto" w:sz="4" w:space="0"/>
            </w:tcBorders>
            <w:tcW w:w="929" w:type="dxa"/>
            <w:vAlign w:val="center"/>
            <w:textDirection w:val="lrTb"/>
            <w:noWrap w:val="false"/>
          </w:tcPr>
          <w:p>
            <w:pPr>
              <w:ind w:left="0"/>
              <w:jc w:val="center"/>
              <w:spacing w:line="400" w:lineRule="exact"/>
              <w:widowControl w:val="off"/>
              <w:rPr>
                <w:rFonts w:hint="eastAsia" w:ascii="宋体" w:hAnsi="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12个月</w:t>
            </w:r>
            <w:r/>
          </w:p>
        </w:tc>
        <w:tc>
          <w:tcPr>
            <w:tcBorders>
              <w:top w:val="single" w:color="auto" w:sz="4" w:space="0"/>
              <w:bottom w:val="single" w:color="auto" w:sz="4" w:space="0"/>
              <w:right w:val="single" w:color="auto" w:sz="4" w:space="0"/>
            </w:tcBorders>
            <w:tcW w:w="1141" w:type="dxa"/>
            <w:vAlign w:val="center"/>
            <w:textDirection w:val="lrTb"/>
            <w:noWrap w:val="false"/>
          </w:tcPr>
          <w:p>
            <w:pPr>
              <w:ind w:firstLine="420"/>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bottom w:val="single" w:color="auto" w:sz="4" w:space="0"/>
              <w:right w:val="single" w:color="auto" w:sz="4" w:space="0"/>
            </w:tcBorders>
            <w:tcW w:w="1208" w:type="dxa"/>
            <w:vAlign w:val="center"/>
            <w:textDirection w:val="lrTb"/>
            <w:noWrap w:val="false"/>
          </w:tcPr>
          <w:p>
            <w:pPr>
              <w:ind w:firstLine="420"/>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40" w:lineRule="auto"/>
              <w:rPr>
                <w:rFonts w:hint="default" w:ascii="宋体" w:hAnsi="宋体" w:eastAsia="宋体" w:cs="宋体"/>
                <w:color w:val="auto"/>
                <w:szCs w:val="21"/>
                <w:highlight w:val="none"/>
                <w:shd w:val="clear" w:color="auto" w:fill="auto"/>
                <w:lang w:val="en-US" w:eastAsia="zh-CN"/>
              </w:rPr>
            </w:pPr>
            <w:r>
              <w:rPr>
                <w:rFonts w:hint="default" w:ascii="宋体" w:hAnsi="宋体" w:eastAsia="宋体" w:cs="宋体"/>
                <w:color w:val="auto"/>
                <w:szCs w:val="21"/>
                <w:highlight w:val="none"/>
                <w:shd w:val="clear" w:color="auto" w:fill="auto"/>
                <w:lang w:val="en-US" w:eastAsia="zh-CN"/>
              </w:rPr>
            </w:r>
            <w:r/>
          </w:p>
        </w:tc>
      </w:tr>
      <w:tr>
        <w:trPr>
          <w:cantSplit/>
          <w:trHeight w:val="567"/>
        </w:trPr>
        <w:tc>
          <w:tcPr>
            <w:tcW w:w="691" w:type="dxa"/>
            <w:vAlign w:val="center"/>
            <w:textDirection w:val="lrTb"/>
            <w:noWrap w:val="false"/>
          </w:tcPr>
          <w:p>
            <w:pPr>
              <w:jc w:val="center"/>
              <w:spacing w:line="240" w:lineRule="auto"/>
              <w:rPr>
                <w:rFonts w:hint="eastAsia"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3</w:t>
            </w:r>
            <w:r/>
          </w:p>
        </w:tc>
        <w:tc>
          <w:tcPr>
            <w:shd w:val="clear" w:color="auto" w:fill="auto"/>
            <w:tcBorders>
              <w:left w:val="single" w:color="auto" w:sz="4" w:space="0"/>
              <w:right w:val="single" w:color="auto" w:sz="4" w:space="0"/>
            </w:tcBorders>
            <w:tcW w:w="1520" w:type="dxa"/>
            <w:vAlign w:val="center"/>
            <w:vMerge w:val="continue"/>
            <w:textDirection w:val="lrTb"/>
            <w:noWrap w:val="false"/>
          </w:tcPr>
          <w:p>
            <w:pPr>
              <w:ind w:left="0"/>
              <w:jc w:val="center"/>
              <w:spacing w:line="400" w:lineRule="exact"/>
              <w:widowControl w:val="off"/>
              <w:rPr>
                <w:rFonts w:hint="default" w:ascii="宋体" w:hAnsi="宋体" w:eastAsia="宋体" w:cs="宋体"/>
                <w:color w:val="auto"/>
                <w:spacing w:val="0"/>
                <w:sz w:val="21"/>
                <w:szCs w:val="21"/>
                <w:highlight w:val="none"/>
                <w:lang w:val="en-US" w:eastAsia="zh-CN" w:bidi="ar-SA"/>
              </w:rPr>
            </w:pPr>
            <w:r>
              <w:rPr>
                <w:rFonts w:hint="default" w:ascii="宋体" w:hAnsi="宋体" w:eastAsia="宋体" w:cs="宋体"/>
                <w:color w:val="auto"/>
                <w:spacing w:val="0"/>
                <w:sz w:val="21"/>
                <w:szCs w:val="21"/>
                <w:highlight w:val="none"/>
                <w:lang w:val="en-US" w:eastAsia="zh-CN" w:bidi="ar-SA"/>
              </w:rPr>
            </w:r>
            <w:r/>
          </w:p>
        </w:tc>
        <w:tc>
          <w:tcPr>
            <w:shd w:val="clear" w:color="auto" w:fill="auto"/>
            <w:tcBorders>
              <w:left w:val="single" w:color="auto" w:sz="4" w:space="0"/>
              <w:right w:val="single" w:color="auto" w:sz="4" w:space="0"/>
            </w:tcBorders>
            <w:tcW w:w="1283" w:type="dxa"/>
            <w:vAlign w:val="center"/>
            <w:vMerge w:val="restart"/>
            <w:textDirection w:val="lrTb"/>
            <w:noWrap w:val="false"/>
          </w:tcPr>
          <w:p>
            <w:pPr>
              <w:ind w:left="0"/>
              <w:jc w:val="center"/>
              <w:spacing w:line="400" w:lineRule="exact"/>
              <w:widowControl w:val="off"/>
              <w:rPr>
                <w:rFonts w:hint="eastAsia" w:ascii="宋体" w:hAnsi="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文正小学</w:t>
            </w:r>
            <w:r/>
          </w:p>
        </w:tc>
        <w:tc>
          <w:tcPr>
            <w:shd w:val="clear" w:color="auto" w:fill="auto"/>
            <w:tcBorders>
              <w:left w:val="single" w:color="auto" w:sz="4" w:space="0"/>
              <w:right w:val="single" w:color="auto" w:sz="4" w:space="0"/>
            </w:tcBorders>
            <w:tcW w:w="183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color w:val="auto"/>
                <w:spacing w:val="0"/>
                <w:sz w:val="21"/>
                <w:szCs w:val="21"/>
                <w:highlight w:val="none"/>
                <w:lang w:val="en-US" w:eastAsia="zh-CN"/>
              </w:rPr>
              <w:outlineLvl w:val="9"/>
              <w:suppressLineNumbers w:val="0"/>
            </w:pPr>
            <w:r>
              <w:rPr>
                <w:rFonts w:hint="eastAsia" w:ascii="宋体" w:hAnsi="宋体" w:eastAsia="宋体" w:cs="宋体"/>
                <w:color w:val="auto"/>
                <w:sz w:val="21"/>
                <w:szCs w:val="21"/>
                <w:highlight w:val="none"/>
              </w:rPr>
              <w:t xml:space="preserve">在线VOCs监测仪</w:t>
            </w:r>
            <w:r/>
          </w:p>
        </w:tc>
        <w:tc>
          <w:tcPr>
            <w:shd w:val="clear" w:color="auto" w:fill="auto"/>
            <w:tcBorders>
              <w:left w:val="single" w:color="auto" w:sz="4" w:space="0"/>
            </w:tcBorders>
            <w:tcW w:w="929" w:type="dxa"/>
            <w:vAlign w:val="center"/>
            <w:textDirection w:val="lrTb"/>
            <w:noWrap w:val="false"/>
          </w:tcPr>
          <w:p>
            <w:pPr>
              <w:ind w:left="0"/>
              <w:jc w:val="center"/>
              <w:spacing w:line="40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rPr>
              <w:t xml:space="preserve">12个月</w:t>
            </w:r>
            <w:r/>
          </w:p>
        </w:tc>
        <w:tc>
          <w:tcPr>
            <w:tcBorders>
              <w:top w:val="single" w:color="auto" w:sz="4" w:space="0"/>
              <w:bottom w:val="single" w:color="auto" w:sz="4" w:space="0"/>
              <w:right w:val="single" w:color="auto" w:sz="4" w:space="0"/>
            </w:tcBorders>
            <w:tcW w:w="1141" w:type="dxa"/>
            <w:vAlign w:val="center"/>
            <w:textDirection w:val="lrTb"/>
            <w:noWrap w:val="false"/>
          </w:tcPr>
          <w:p>
            <w:pPr>
              <w:ind w:firstLine="420"/>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bottom w:val="single" w:color="auto" w:sz="4" w:space="0"/>
              <w:right w:val="single" w:color="auto" w:sz="4" w:space="0"/>
            </w:tcBorders>
            <w:tcW w:w="1208" w:type="dxa"/>
            <w:vAlign w:val="center"/>
            <w:textDirection w:val="lrTb"/>
            <w:noWrap w:val="false"/>
          </w:tcPr>
          <w:p>
            <w:pPr>
              <w:ind w:firstLine="420"/>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40" w:lineRule="auto"/>
              <w:rPr>
                <w:rFonts w:hint="default" w:ascii="宋体" w:hAnsi="宋体" w:cs="宋体"/>
                <w:color w:val="auto"/>
                <w:szCs w:val="21"/>
                <w:highlight w:val="none"/>
                <w:shd w:val="clear" w:color="auto" w:fill="auto"/>
                <w:lang w:val="en-US" w:eastAsia="zh-CN"/>
              </w:rPr>
            </w:pPr>
            <w:r>
              <w:rPr>
                <w:rFonts w:hint="default" w:ascii="宋体" w:hAnsi="宋体" w:cs="宋体"/>
                <w:color w:val="auto"/>
                <w:szCs w:val="21"/>
                <w:highlight w:val="none"/>
                <w:shd w:val="clear" w:color="auto" w:fill="auto"/>
                <w:lang w:val="en-US" w:eastAsia="zh-CN"/>
              </w:rPr>
            </w:r>
            <w:r/>
          </w:p>
        </w:tc>
      </w:tr>
      <w:tr>
        <w:trPr>
          <w:cantSplit/>
          <w:trHeight w:val="567"/>
        </w:trPr>
        <w:tc>
          <w:tcPr>
            <w:tcW w:w="691" w:type="dxa"/>
            <w:vAlign w:val="center"/>
            <w:textDirection w:val="lrTb"/>
            <w:noWrap w:val="false"/>
          </w:tcPr>
          <w:p>
            <w:pPr>
              <w:jc w:val="center"/>
              <w:spacing w:line="240" w:lineRule="auto"/>
              <w:rPr>
                <w:rFonts w:hint="default"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4</w:t>
            </w:r>
            <w:r/>
          </w:p>
        </w:tc>
        <w:tc>
          <w:tcPr>
            <w:shd w:val="clear" w:color="auto" w:fill="auto"/>
            <w:tcBorders>
              <w:left w:val="single" w:color="auto" w:sz="4" w:space="0"/>
              <w:right w:val="single" w:color="auto" w:sz="4" w:space="0"/>
            </w:tcBorders>
            <w:tcW w:w="1520" w:type="dxa"/>
            <w:vAlign w:val="center"/>
            <w:vMerge w:val="continue"/>
            <w:textDirection w:val="lrTb"/>
            <w:noWrap w:val="false"/>
          </w:tcPr>
          <w:p>
            <w:pPr>
              <w:ind w:left="0"/>
              <w:jc w:val="center"/>
              <w:spacing w:line="400" w:lineRule="exact"/>
              <w:widowControl w:val="off"/>
              <w:rPr>
                <w:rFonts w:hint="default" w:ascii="宋体" w:hAnsi="宋体" w:eastAsia="宋体" w:cs="宋体"/>
                <w:color w:val="auto"/>
                <w:spacing w:val="0"/>
                <w:sz w:val="21"/>
                <w:szCs w:val="21"/>
                <w:highlight w:val="none"/>
                <w:lang w:val="en-US" w:eastAsia="zh-CN" w:bidi="ar-SA"/>
              </w:rPr>
            </w:pPr>
            <w:r>
              <w:rPr>
                <w:rFonts w:hint="default" w:ascii="宋体" w:hAnsi="宋体" w:eastAsia="宋体" w:cs="宋体"/>
                <w:color w:val="auto"/>
                <w:spacing w:val="0"/>
                <w:sz w:val="21"/>
                <w:szCs w:val="21"/>
                <w:highlight w:val="none"/>
                <w:lang w:val="en-US" w:eastAsia="zh-CN" w:bidi="ar-SA"/>
              </w:rPr>
            </w:r>
            <w:r/>
          </w:p>
        </w:tc>
        <w:tc>
          <w:tcPr>
            <w:shd w:val="clear" w:color="auto" w:fill="auto"/>
            <w:tcBorders>
              <w:left w:val="single" w:color="auto" w:sz="4" w:space="0"/>
              <w:right w:val="single" w:color="auto" w:sz="4" w:space="0"/>
            </w:tcBorders>
            <w:tcW w:w="1283" w:type="dxa"/>
            <w:vAlign w:val="center"/>
            <w:vMerge w:val="continue"/>
            <w:textDirection w:val="lrTb"/>
            <w:noWrap w:val="false"/>
          </w:tcPr>
          <w:p>
            <w:pPr>
              <w:ind w:left="0"/>
              <w:jc w:val="center"/>
              <w:spacing w:line="400" w:lineRule="exact"/>
              <w:widowControl w:val="off"/>
              <w:rPr>
                <w:rFonts w:hint="eastAsia" w:ascii="宋体" w:hAnsi="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r>
            <w:r/>
          </w:p>
        </w:tc>
        <w:tc>
          <w:tcPr>
            <w:shd w:val="clear" w:color="auto" w:fill="auto"/>
            <w:tcBorders>
              <w:left w:val="single" w:color="auto" w:sz="4" w:space="0"/>
              <w:right w:val="single" w:color="auto" w:sz="4" w:space="0"/>
            </w:tcBorders>
            <w:tcW w:w="183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color w:val="auto"/>
                <w:spacing w:val="0"/>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太阳辐射紫外辐射监测系统</w:t>
            </w:r>
            <w:r/>
          </w:p>
        </w:tc>
        <w:tc>
          <w:tcPr>
            <w:shd w:val="clear" w:color="auto" w:fill="auto"/>
            <w:tcBorders>
              <w:left w:val="single" w:color="auto" w:sz="4" w:space="0"/>
            </w:tcBorders>
            <w:tcW w:w="929" w:type="dxa"/>
            <w:vAlign w:val="center"/>
            <w:textDirection w:val="lrTb"/>
            <w:noWrap w:val="false"/>
          </w:tcPr>
          <w:p>
            <w:pPr>
              <w:ind w:left="0"/>
              <w:jc w:val="center"/>
              <w:spacing w:line="400" w:lineRule="exact"/>
              <w:widowControl w:val="off"/>
              <w:rPr>
                <w:rFonts w:hint="eastAsia" w:ascii="宋体" w:hAnsi="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12个月</w:t>
            </w:r>
            <w:r/>
          </w:p>
        </w:tc>
        <w:tc>
          <w:tcPr>
            <w:tcBorders>
              <w:top w:val="single" w:color="auto" w:sz="4" w:space="0"/>
              <w:bottom w:val="single" w:color="auto" w:sz="4" w:space="0"/>
              <w:right w:val="single" w:color="auto" w:sz="4" w:space="0"/>
            </w:tcBorders>
            <w:tcW w:w="1141" w:type="dxa"/>
            <w:vAlign w:val="center"/>
            <w:textDirection w:val="lrTb"/>
            <w:noWrap w:val="false"/>
          </w:tcPr>
          <w:p>
            <w:pPr>
              <w:ind w:firstLine="420"/>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bottom w:val="single" w:color="auto" w:sz="4" w:space="0"/>
              <w:right w:val="single" w:color="auto" w:sz="4" w:space="0"/>
            </w:tcBorders>
            <w:tcW w:w="1208" w:type="dxa"/>
            <w:vAlign w:val="center"/>
            <w:textDirection w:val="lrTb"/>
            <w:noWrap w:val="false"/>
          </w:tcPr>
          <w:p>
            <w:pPr>
              <w:ind w:firstLine="420"/>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40" w:lineRule="auto"/>
              <w:rPr>
                <w:rFonts w:hint="default" w:ascii="宋体" w:hAnsi="宋体" w:cs="宋体"/>
                <w:color w:val="auto"/>
                <w:szCs w:val="21"/>
                <w:highlight w:val="none"/>
                <w:shd w:val="clear" w:color="auto" w:fill="auto"/>
                <w:lang w:val="en-US" w:eastAsia="zh-CN"/>
              </w:rPr>
            </w:pPr>
            <w:r>
              <w:rPr>
                <w:rFonts w:hint="default" w:ascii="宋体" w:hAnsi="宋体" w:cs="宋体"/>
                <w:color w:val="auto"/>
                <w:szCs w:val="21"/>
                <w:highlight w:val="none"/>
                <w:shd w:val="clear" w:color="auto" w:fill="auto"/>
                <w:lang w:val="en-US" w:eastAsia="zh-CN"/>
              </w:rPr>
            </w:r>
            <w:r/>
          </w:p>
        </w:tc>
      </w:tr>
      <w:tr>
        <w:trPr>
          <w:cantSplit/>
          <w:trHeight w:val="567"/>
        </w:trPr>
        <w:tc>
          <w:tcPr>
            <w:tcW w:w="691" w:type="dxa"/>
            <w:vAlign w:val="center"/>
            <w:textDirection w:val="lrTb"/>
            <w:noWrap w:val="false"/>
          </w:tcPr>
          <w:p>
            <w:pPr>
              <w:jc w:val="center"/>
              <w:spacing w:line="240" w:lineRule="auto"/>
              <w:rPr>
                <w:rFonts w:hint="eastAsia"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5</w:t>
            </w:r>
            <w:r/>
          </w:p>
        </w:tc>
        <w:tc>
          <w:tcPr>
            <w:shd w:val="clear" w:color="auto" w:fill="auto"/>
            <w:tcBorders>
              <w:left w:val="single" w:color="auto" w:sz="4" w:space="0"/>
              <w:right w:val="single" w:color="auto" w:sz="4" w:space="0"/>
            </w:tcBorders>
            <w:tcW w:w="1520" w:type="dxa"/>
            <w:vAlign w:val="center"/>
            <w:vMerge w:val="continue"/>
            <w:textDirection w:val="lrTb"/>
            <w:noWrap w:val="false"/>
          </w:tcPr>
          <w:p>
            <w:pPr>
              <w:ind w:left="0"/>
              <w:jc w:val="center"/>
              <w:spacing w:line="40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r>
            <w:r/>
          </w:p>
        </w:tc>
        <w:tc>
          <w:tcPr>
            <w:shd w:val="clear" w:color="auto" w:fill="auto"/>
            <w:tcBorders>
              <w:left w:val="single" w:color="auto" w:sz="4" w:space="0"/>
              <w:right w:val="single" w:color="auto" w:sz="4" w:space="0"/>
            </w:tcBorders>
            <w:tcW w:w="1283" w:type="dxa"/>
            <w:vAlign w:val="center"/>
            <w:vMerge w:val="restart"/>
            <w:textDirection w:val="lrTb"/>
            <w:noWrap w:val="false"/>
          </w:tcPr>
          <w:p>
            <w:pPr>
              <w:ind w:left="0"/>
              <w:jc w:val="center"/>
              <w:spacing w:line="400" w:lineRule="exact"/>
              <w:widowControl w:val="off"/>
              <w:rPr>
                <w:rFonts w:hint="eastAsia" w:ascii="宋体" w:hAnsi="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金山浜社区</w:t>
            </w:r>
            <w:r/>
          </w:p>
        </w:tc>
        <w:tc>
          <w:tcPr>
            <w:shd w:val="clear" w:color="auto" w:fill="auto"/>
            <w:tcBorders>
              <w:left w:val="single" w:color="auto" w:sz="4" w:space="0"/>
              <w:right w:val="single" w:color="auto" w:sz="4" w:space="0"/>
            </w:tcBorders>
            <w:tcW w:w="183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color w:val="auto"/>
                <w:spacing w:val="0"/>
                <w:sz w:val="21"/>
                <w:szCs w:val="21"/>
                <w:highlight w:val="none"/>
                <w:lang w:val="en-US" w:eastAsia="zh-CN"/>
              </w:rPr>
              <w:outlineLvl w:val="9"/>
              <w:suppressLineNumbers w:val="0"/>
            </w:pPr>
            <w:r>
              <w:rPr>
                <w:rFonts w:hint="eastAsia" w:ascii="宋体" w:hAnsi="宋体" w:eastAsia="宋体" w:cs="宋体"/>
                <w:color w:val="auto"/>
                <w:sz w:val="21"/>
                <w:szCs w:val="21"/>
                <w:highlight w:val="none"/>
              </w:rPr>
              <w:t xml:space="preserve">在线VOCs监测仪</w:t>
            </w:r>
            <w:r/>
          </w:p>
        </w:tc>
        <w:tc>
          <w:tcPr>
            <w:shd w:val="clear" w:color="auto" w:fill="auto"/>
            <w:tcBorders>
              <w:left w:val="single" w:color="auto" w:sz="4" w:space="0"/>
            </w:tcBorders>
            <w:tcW w:w="929" w:type="dxa"/>
            <w:vAlign w:val="center"/>
            <w:textDirection w:val="lrTb"/>
            <w:noWrap w:val="false"/>
          </w:tcPr>
          <w:p>
            <w:pPr>
              <w:ind w:left="0"/>
              <w:jc w:val="center"/>
              <w:spacing w:line="40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rPr>
              <w:t xml:space="preserve">12个月</w:t>
            </w:r>
            <w:r/>
          </w:p>
        </w:tc>
        <w:tc>
          <w:tcPr>
            <w:tcBorders>
              <w:top w:val="single" w:color="auto" w:sz="4" w:space="0"/>
              <w:bottom w:val="single" w:color="auto" w:sz="4" w:space="0"/>
              <w:right w:val="single" w:color="auto" w:sz="4" w:space="0"/>
            </w:tcBorders>
            <w:tcW w:w="1141" w:type="dxa"/>
            <w:vAlign w:val="center"/>
            <w:textDirection w:val="lrTb"/>
            <w:noWrap w:val="false"/>
          </w:tcPr>
          <w:p>
            <w:pPr>
              <w:ind w:firstLine="420"/>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bottom w:val="single" w:color="auto" w:sz="4" w:space="0"/>
              <w:right w:val="single" w:color="auto" w:sz="4" w:space="0"/>
            </w:tcBorders>
            <w:tcW w:w="1208" w:type="dxa"/>
            <w:vAlign w:val="center"/>
            <w:textDirection w:val="lrTb"/>
            <w:noWrap w:val="false"/>
          </w:tcPr>
          <w:p>
            <w:pPr>
              <w:ind w:firstLine="420"/>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40" w:lineRule="auto"/>
              <w:rPr>
                <w:rFonts w:hint="default" w:ascii="宋体" w:hAnsi="宋体" w:cs="宋体"/>
                <w:color w:val="auto"/>
                <w:szCs w:val="21"/>
                <w:highlight w:val="none"/>
                <w:shd w:val="clear" w:color="auto" w:fill="auto"/>
                <w:lang w:val="en-US" w:eastAsia="zh-CN"/>
              </w:rPr>
            </w:pPr>
            <w:r>
              <w:rPr>
                <w:rFonts w:hint="default" w:ascii="宋体" w:hAnsi="宋体" w:cs="宋体"/>
                <w:color w:val="auto"/>
                <w:szCs w:val="21"/>
                <w:highlight w:val="none"/>
                <w:shd w:val="clear" w:color="auto" w:fill="auto"/>
                <w:lang w:val="en-US" w:eastAsia="zh-CN"/>
              </w:rPr>
            </w:r>
            <w:r/>
          </w:p>
        </w:tc>
      </w:tr>
      <w:tr>
        <w:trPr>
          <w:cantSplit/>
          <w:trHeight w:val="567"/>
        </w:trPr>
        <w:tc>
          <w:tcPr>
            <w:tcW w:w="691" w:type="dxa"/>
            <w:vAlign w:val="center"/>
            <w:textDirection w:val="lrTb"/>
            <w:noWrap w:val="false"/>
          </w:tcPr>
          <w:p>
            <w:pPr>
              <w:jc w:val="center"/>
              <w:spacing w:line="240" w:lineRule="auto"/>
              <w:rPr>
                <w:rFonts w:hint="default"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6</w:t>
            </w:r>
            <w:r/>
          </w:p>
        </w:tc>
        <w:tc>
          <w:tcPr>
            <w:shd w:val="clear" w:color="auto" w:fill="auto"/>
            <w:tcBorders>
              <w:left w:val="single" w:color="auto" w:sz="4" w:space="0"/>
              <w:right w:val="single" w:color="auto" w:sz="4" w:space="0"/>
            </w:tcBorders>
            <w:tcW w:w="1520" w:type="dxa"/>
            <w:vAlign w:val="center"/>
            <w:vMerge w:val="continue"/>
            <w:textDirection w:val="lrTb"/>
            <w:noWrap w:val="false"/>
          </w:tcPr>
          <w:p>
            <w:pPr>
              <w:ind w:left="0"/>
              <w:jc w:val="center"/>
              <w:spacing w:line="40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r>
            <w:r/>
          </w:p>
        </w:tc>
        <w:tc>
          <w:tcPr>
            <w:shd w:val="clear" w:color="auto" w:fill="auto"/>
            <w:tcBorders>
              <w:left w:val="single" w:color="auto" w:sz="4" w:space="0"/>
              <w:right w:val="single" w:color="auto" w:sz="4" w:space="0"/>
            </w:tcBorders>
            <w:tcW w:w="1283" w:type="dxa"/>
            <w:vAlign w:val="center"/>
            <w:vMerge w:val="continue"/>
            <w:textDirection w:val="lrTb"/>
            <w:noWrap w:val="false"/>
          </w:tcPr>
          <w:p>
            <w:pPr>
              <w:ind w:left="0"/>
              <w:jc w:val="center"/>
              <w:spacing w:line="400" w:lineRule="exact"/>
              <w:widowControl w:val="off"/>
              <w:rPr>
                <w:rFonts w:hint="eastAsia" w:ascii="宋体" w:hAnsi="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r>
            <w:r/>
          </w:p>
        </w:tc>
        <w:tc>
          <w:tcPr>
            <w:shd w:val="clear" w:color="auto" w:fill="auto"/>
            <w:tcBorders>
              <w:left w:val="single" w:color="auto" w:sz="4" w:space="0"/>
              <w:right w:val="single" w:color="auto" w:sz="4" w:space="0"/>
            </w:tcBorders>
            <w:tcW w:w="183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cs="宋体"/>
                <w:color w:val="auto"/>
                <w:spacing w:val="0"/>
                <w:sz w:val="21"/>
                <w:szCs w:val="21"/>
                <w:highlight w:val="none"/>
                <w:lang w:val="en-US" w:eastAsia="zh-CN"/>
              </w:rPr>
              <w:outlineLvl w:val="9"/>
              <w:suppressLineNumbers w:val="0"/>
            </w:pPr>
            <w:r>
              <w:rPr>
                <w:rFonts w:hint="eastAsia" w:ascii="宋体" w:hAnsi="宋体" w:eastAsia="宋体" w:cs="宋体"/>
                <w:color w:val="auto"/>
                <w:sz w:val="21"/>
                <w:szCs w:val="21"/>
                <w:highlight w:val="none"/>
                <w:lang w:val="en-US" w:eastAsia="zh-CN"/>
              </w:rPr>
              <w:t xml:space="preserve">太阳辐射紫外辐射监测系统</w:t>
            </w:r>
            <w:r/>
          </w:p>
        </w:tc>
        <w:tc>
          <w:tcPr>
            <w:shd w:val="clear" w:color="auto" w:fill="auto"/>
            <w:tcBorders>
              <w:left w:val="single" w:color="auto" w:sz="4" w:space="0"/>
            </w:tcBorders>
            <w:tcW w:w="929" w:type="dxa"/>
            <w:vAlign w:val="center"/>
            <w:textDirection w:val="lrTb"/>
            <w:noWrap w:val="false"/>
          </w:tcPr>
          <w:p>
            <w:pPr>
              <w:ind w:left="0"/>
              <w:jc w:val="center"/>
              <w:spacing w:line="400" w:lineRule="exact"/>
              <w:widowControl w:val="off"/>
              <w:rPr>
                <w:rFonts w:hint="eastAsia" w:ascii="宋体" w:hAnsi="宋体" w:cs="宋体"/>
                <w:color w:val="auto"/>
                <w:spacing w:val="0"/>
                <w:sz w:val="21"/>
                <w:szCs w:val="21"/>
                <w:highlight w:val="none"/>
                <w:lang w:val="en-US" w:eastAsia="zh-CN"/>
              </w:rPr>
            </w:pPr>
            <w:r>
              <w:rPr>
                <w:rFonts w:hint="eastAsia" w:ascii="宋体" w:hAnsi="宋体" w:cs="宋体"/>
                <w:color w:val="auto"/>
                <w:spacing w:val="0"/>
                <w:sz w:val="21"/>
                <w:szCs w:val="21"/>
                <w:highlight w:val="none"/>
                <w:lang w:val="en-US" w:eastAsia="zh-CN"/>
              </w:rPr>
              <w:t xml:space="preserve">12个月</w:t>
            </w:r>
            <w:r/>
          </w:p>
        </w:tc>
        <w:tc>
          <w:tcPr>
            <w:tcBorders>
              <w:top w:val="single" w:color="auto" w:sz="4" w:space="0"/>
              <w:bottom w:val="single" w:color="auto" w:sz="4" w:space="0"/>
              <w:right w:val="single" w:color="auto" w:sz="4" w:space="0"/>
            </w:tcBorders>
            <w:tcW w:w="1141" w:type="dxa"/>
            <w:vAlign w:val="center"/>
            <w:textDirection w:val="lrTb"/>
            <w:noWrap w:val="false"/>
          </w:tcPr>
          <w:p>
            <w:pPr>
              <w:ind w:firstLine="420"/>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bottom w:val="single" w:color="auto" w:sz="4" w:space="0"/>
              <w:right w:val="single" w:color="auto" w:sz="4" w:space="0"/>
            </w:tcBorders>
            <w:tcW w:w="1208" w:type="dxa"/>
            <w:vAlign w:val="center"/>
            <w:textDirection w:val="lrTb"/>
            <w:noWrap w:val="false"/>
          </w:tcPr>
          <w:p>
            <w:pPr>
              <w:ind w:firstLine="420"/>
              <w:spacing w:line="24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240" w:lineRule="auto"/>
              <w:rPr>
                <w:rFonts w:hint="default" w:ascii="宋体" w:hAnsi="宋体" w:cs="宋体"/>
                <w:color w:val="auto"/>
                <w:szCs w:val="21"/>
                <w:highlight w:val="none"/>
                <w:shd w:val="clear" w:color="auto" w:fill="auto"/>
                <w:lang w:val="en-US" w:eastAsia="zh-CN"/>
              </w:rPr>
            </w:pPr>
            <w:r>
              <w:rPr>
                <w:rFonts w:hint="default" w:ascii="宋体" w:hAnsi="宋体" w:cs="宋体"/>
                <w:color w:val="auto"/>
                <w:szCs w:val="21"/>
                <w:highlight w:val="none"/>
                <w:shd w:val="clear" w:color="auto" w:fill="auto"/>
                <w:lang w:val="en-US" w:eastAsia="zh-CN"/>
              </w:rPr>
            </w:r>
            <w:r/>
          </w:p>
        </w:tc>
      </w:tr>
      <w:tr>
        <w:trPr>
          <w:cantSplit/>
          <w:trHeight w:val="567"/>
        </w:trPr>
        <w:tc>
          <w:tcPr>
            <w:gridSpan w:val="8"/>
            <w:tcBorders>
              <w:right w:val="single" w:color="auto" w:sz="4" w:space="0"/>
            </w:tcBorders>
            <w:tcW w:w="9839" w:type="dxa"/>
            <w:vAlign w:val="center"/>
            <w:textDirection w:val="lrTb"/>
            <w:noWrap w:val="false"/>
          </w:tcPr>
          <w:p>
            <w:pPr>
              <w:spacing w:line="240" w:lineRule="auto"/>
              <w:rPr>
                <w:rFonts w:hint="default" w:ascii="宋体" w:hAnsi="宋体" w:eastAsia="宋体" w:cs="宋体"/>
                <w:color w:val="auto"/>
                <w:szCs w:val="21"/>
                <w:highlight w:val="none"/>
                <w:u w:val="none"/>
                <w:shd w:val="clear" w:color="auto" w:fill="auto"/>
                <w:lang w:val="en-US" w:eastAsia="zh-CN"/>
              </w:rPr>
            </w:pPr>
            <w:r>
              <w:rPr>
                <w:rFonts w:hint="eastAsia" w:cs="宋体"/>
                <w:color w:val="auto"/>
                <w:highlight w:val="none"/>
                <w:shd w:val="clear" w:color="auto" w:fill="auto"/>
                <w:lang w:val="en-US" w:eastAsia="zh-CN"/>
              </w:rPr>
              <w:t xml:space="preserve">磋商总</w:t>
            </w:r>
            <w:r>
              <w:rPr>
                <w:rFonts w:hint="eastAsia" w:cs="宋体"/>
                <w:color w:val="auto"/>
                <w:highlight w:val="none"/>
                <w:shd w:val="clear" w:color="auto" w:fill="auto"/>
              </w:rPr>
              <w:t xml:space="preserve">报价</w:t>
            </w:r>
            <w:r>
              <w:rPr>
                <w:rFonts w:hint="eastAsia" w:cs="宋体"/>
                <w:color w:val="auto"/>
                <w:highlight w:val="none"/>
                <w:shd w:val="clear" w:color="auto" w:fill="auto"/>
                <w:lang w:eastAsia="zh-CN"/>
              </w:rPr>
              <w:t xml:space="preserve">：</w:t>
            </w:r>
            <w:r>
              <w:rPr>
                <w:rFonts w:hint="eastAsia" w:cs="宋体"/>
                <w:color w:val="auto"/>
                <w:highlight w:val="none"/>
                <w:shd w:val="clear" w:color="auto" w:fill="auto"/>
                <w:lang w:val="en-US" w:eastAsia="zh-CN"/>
              </w:rPr>
              <w:t xml:space="preserve">人民币</w:t>
            </w:r>
            <w:r>
              <w:rPr>
                <w:rFonts w:hint="eastAsia" w:cs="宋体"/>
                <w:color w:val="auto"/>
                <w:highlight w:val="none"/>
                <w:u w:val="single"/>
                <w:shd w:val="clear" w:color="auto" w:fill="auto"/>
                <w:lang w:val="en-US" w:eastAsia="zh-CN"/>
              </w:rPr>
              <w:t xml:space="preserve">                           </w:t>
            </w:r>
            <w:r>
              <w:rPr>
                <w:rFonts w:hint="eastAsia" w:cs="宋体"/>
                <w:color w:val="auto"/>
                <w:highlight w:val="none"/>
                <w:u w:val="none"/>
                <w:shd w:val="clear" w:color="auto" w:fill="auto"/>
                <w:lang w:val="en-US" w:eastAsia="zh-CN"/>
              </w:rPr>
              <w:t xml:space="preserve">元整（￥</w:t>
            </w:r>
            <w:r>
              <w:rPr>
                <w:rFonts w:hint="eastAsia" w:cs="宋体"/>
                <w:color w:val="auto"/>
                <w:highlight w:val="none"/>
                <w:u w:val="single"/>
                <w:shd w:val="clear" w:color="auto" w:fill="auto"/>
                <w:lang w:val="en-US" w:eastAsia="zh-CN"/>
              </w:rPr>
              <w:t xml:space="preserve">             </w:t>
            </w:r>
            <w:r>
              <w:rPr>
                <w:rFonts w:hint="eastAsia" w:cs="宋体"/>
                <w:color w:val="auto"/>
                <w:highlight w:val="none"/>
                <w:u w:val="none"/>
                <w:shd w:val="clear" w:color="auto" w:fill="auto"/>
                <w:lang w:val="en-US" w:eastAsia="zh-CN"/>
              </w:rPr>
              <w:t xml:space="preserve">）</w:t>
            </w:r>
            <w:r/>
          </w:p>
        </w:tc>
      </w:tr>
    </w:tbl>
    <w:p>
      <w:pPr>
        <w:pStyle w:val="1139"/>
        <w:ind w:firstLine="567"/>
        <w:spacing w:line="360" w:lineRule="exact"/>
        <w:rPr>
          <w:rFonts w:hint="eastAsia" w:hAnsi="宋体" w:eastAsia="宋体" w:cs="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供应商：（公章）</w:t>
      </w:r>
      <w:r/>
    </w:p>
    <w:p>
      <w:pPr>
        <w:ind w:firstLine="567"/>
        <w:jc w:val="left"/>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法定代表人或代理人（签字或盖章）：</w:t>
      </w:r>
      <w:r/>
    </w:p>
    <w:p>
      <w:pPr>
        <w:ind w:firstLine="567"/>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w:t>
      </w:r>
      <w:r/>
    </w:p>
    <w:p>
      <w:pPr>
        <w:pStyle w:val="963"/>
        <w:ind w:firstLine="0"/>
        <w:spacing w:line="360" w:lineRule="exact"/>
        <w:rPr>
          <w:rFonts w:hint="eastAsia" w:ascii="宋体" w:hAnsi="宋体" w:eastAsia="宋体"/>
          <w:color w:val="auto"/>
          <w:szCs w:val="24"/>
          <w:highlight w:val="none"/>
          <w:shd w:val="clear" w:color="auto" w:fill="auto"/>
        </w:rPr>
      </w:pPr>
      <w:r>
        <w:rPr>
          <w:rFonts w:hint="eastAsia" w:ascii="宋体" w:hAnsi="宋体" w:eastAsia="宋体"/>
          <w:color w:val="auto"/>
          <w:szCs w:val="24"/>
          <w:highlight w:val="none"/>
          <w:shd w:val="clear" w:color="auto" w:fill="auto"/>
        </w:rPr>
      </w:r>
      <w:r/>
    </w:p>
    <w:p>
      <w:pPr>
        <w:pStyle w:val="1139"/>
        <w:ind w:firstLine="525"/>
        <w:spacing w:line="360" w:lineRule="exact"/>
        <w:rPr>
          <w:rFonts w:hint="eastAsia" w:hAnsi="宋体" w:eastAsia="宋体"/>
          <w:b/>
          <w:bCs/>
          <w:color w:val="auto"/>
          <w:sz w:val="21"/>
          <w:szCs w:val="21"/>
          <w:highlight w:val="none"/>
          <w:shd w:val="clear" w:color="auto" w:fill="auto"/>
        </w:rPr>
      </w:pPr>
      <w:r>
        <w:rPr>
          <w:rFonts w:hint="eastAsia" w:hAnsi="宋体" w:eastAsia="宋体"/>
          <w:b/>
          <w:bCs/>
          <w:color w:val="auto"/>
          <w:sz w:val="21"/>
          <w:szCs w:val="21"/>
          <w:highlight w:val="none"/>
          <w:shd w:val="clear" w:color="auto" w:fill="auto"/>
        </w:rPr>
      </w:r>
      <w:r/>
    </w:p>
    <w:p>
      <w:pPr>
        <w:pStyle w:val="1139"/>
        <w:ind w:firstLine="525"/>
        <w:spacing w:line="360" w:lineRule="exact"/>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r>
      <w:r/>
    </w:p>
    <w:p>
      <w:pPr>
        <w:rPr>
          <w:rFonts w:hint="eastAsia" w:hAnsi="宋体" w:eastAsia="宋体"/>
          <w:b/>
          <w:color w:val="auto"/>
          <w:sz w:val="21"/>
          <w:szCs w:val="21"/>
          <w:highlight w:val="none"/>
          <w:shd w:val="clear" w:color="auto" w:fill="auto"/>
        </w:rPr>
      </w:pPr>
      <w:r>
        <w:rPr>
          <w:rFonts w:hint="eastAsia" w:hAnsi="宋体" w:eastAsia="宋体"/>
          <w:b/>
          <w:color w:val="auto"/>
          <w:sz w:val="21"/>
          <w:szCs w:val="21"/>
          <w:highlight w:val="none"/>
          <w:shd w:val="clear" w:color="auto" w:fill="auto"/>
        </w:rPr>
        <w:br w:type="page" w:clear="all"/>
      </w:r>
      <w:r/>
    </w:p>
    <w:p>
      <w:pPr>
        <w:pStyle w:val="973"/>
        <w:rPr>
          <w:rFonts w:hint="eastAsia" w:hAnsi="宋体" w:eastAsia="宋体"/>
          <w:b/>
          <w:bCs/>
          <w:color w:val="auto"/>
          <w:szCs w:val="21"/>
          <w:highlight w:val="none"/>
          <w:shd w:val="clear" w:color="auto" w:fill="auto"/>
        </w:rPr>
      </w:pPr>
      <w:r>
        <w:rPr>
          <w:rFonts w:hint="eastAsia" w:hAnsi="宋体" w:eastAsia="宋体"/>
          <w:b/>
          <w:color w:val="auto"/>
          <w:sz w:val="21"/>
          <w:szCs w:val="21"/>
          <w:highlight w:val="none"/>
          <w:shd w:val="clear" w:color="auto" w:fill="auto"/>
        </w:rPr>
        <w:t xml:space="preserve">附件4、服务要求偏离表</w:t>
      </w:r>
      <w:r/>
    </w:p>
    <w:p>
      <w:pPr>
        <w:jc w:val="center"/>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服务要求偏离表</w:t>
      </w:r>
      <w:r/>
    </w:p>
    <w:p>
      <w:pPr>
        <w:ind w:firstLine="630"/>
        <w:rPr>
          <w:rFonts w:hint="eastAsia" w:ascii="宋体" w:hAnsi="宋体"/>
          <w:b/>
          <w:color w:val="auto"/>
          <w:spacing w:val="20"/>
          <w:szCs w:val="21"/>
          <w:highlight w:val="none"/>
          <w:shd w:val="clear" w:color="auto" w:fill="auto"/>
        </w:rPr>
      </w:pPr>
      <w:r>
        <w:rPr>
          <w:rFonts w:hint="eastAsia" w:ascii="宋体" w:hAnsi="宋体"/>
          <w:color w:val="auto"/>
          <w:szCs w:val="21"/>
          <w:highlight w:val="none"/>
          <w:shd w:val="clear" w:color="auto" w:fill="auto"/>
        </w:rPr>
        <w:t xml:space="preserve">供应商</w:t>
      </w:r>
      <w:r>
        <w:rPr>
          <w:rFonts w:hint="eastAsia" w:ascii="宋体" w:hAnsi="宋体"/>
          <w:color w:val="auto"/>
          <w:szCs w:val="21"/>
          <w:highlight w:val="none"/>
          <w:shd w:val="clear" w:color="auto" w:fill="auto"/>
          <w:lang w:val="zh-CN"/>
        </w:rPr>
        <w:t xml:space="preserve">：               </w:t>
      </w:r>
      <w:r>
        <w:rPr>
          <w:rFonts w:hint="eastAsia" w:ascii="宋体" w:hAnsi="宋体"/>
          <w:color w:val="auto"/>
          <w:szCs w:val="21"/>
          <w:highlight w:val="none"/>
          <w:shd w:val="clear" w:color="auto" w:fill="auto"/>
        </w:rPr>
        <w:t xml:space="preserve">                       </w:t>
      </w:r>
      <w:r>
        <w:rPr>
          <w:rFonts w:hint="eastAsia" w:ascii="宋体" w:hAnsi="宋体"/>
          <w:color w:val="auto"/>
          <w:szCs w:val="21"/>
          <w:highlight w:val="none"/>
          <w:shd w:val="clear" w:color="auto" w:fill="auto"/>
          <w:lang w:val="zh-CN"/>
        </w:rPr>
        <w:t xml:space="preserve">采购编号</w:t>
      </w:r>
      <w:r>
        <w:rPr>
          <w:rFonts w:hint="eastAsia" w:ascii="宋体" w:hAnsi="宋体" w:cs="宋体"/>
          <w:color w:val="auto"/>
          <w:szCs w:val="21"/>
          <w:highlight w:val="none"/>
          <w:shd w:val="clear" w:color="auto" w:fill="auto"/>
          <w:lang w:val="zh-CN"/>
        </w:rPr>
        <w:t xml:space="preserve">∶</w:t>
      </w:r>
      <w:r/>
    </w:p>
    <w:tbl>
      <w:tblPr>
        <w:tblStyle w:val="955"/>
        <w:tblW w:w="9240" w:type="dxa"/>
        <w:tblInd w:w="3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870"/>
        <w:gridCol w:w="2051"/>
        <w:gridCol w:w="2052"/>
        <w:gridCol w:w="2496"/>
      </w:tblGrid>
      <w:tr>
        <w:trPr>
          <w:trHeight w:val="567"/>
        </w:trPr>
        <w:tc>
          <w:tcPr>
            <w:tcW w:w="771" w:type="dxa"/>
            <w:vAlign w:val="center"/>
            <w:textDirection w:val="lrTb"/>
            <w:noWrap w:val="false"/>
          </w:tcPr>
          <w:p>
            <w:pPr>
              <w:jc w:val="center"/>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序号</w:t>
            </w:r>
            <w:r/>
          </w:p>
        </w:tc>
        <w:tc>
          <w:tcPr>
            <w:tcW w:w="1870" w:type="dxa"/>
            <w:vAlign w:val="center"/>
            <w:textDirection w:val="lrTb"/>
            <w:noWrap w:val="false"/>
          </w:tcPr>
          <w:p>
            <w:pPr>
              <w:pStyle w:val="963"/>
              <w:ind w:left="54" w:firstLine="0"/>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项目</w:t>
            </w:r>
            <w:r/>
          </w:p>
        </w:tc>
        <w:tc>
          <w:tcPr>
            <w:tcW w:w="2051" w:type="dxa"/>
            <w:vAlign w:val="center"/>
            <w:textDirection w:val="lrTb"/>
            <w:noWrap w:val="false"/>
          </w:tcPr>
          <w:p>
            <w:pPr>
              <w:pStyle w:val="963"/>
              <w:ind w:firstLine="0"/>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采购</w:t>
            </w:r>
            <w:r>
              <w:rPr>
                <w:rFonts w:ascii="宋体" w:hAnsi="宋体" w:eastAsia="宋体"/>
                <w:color w:val="auto"/>
                <w:sz w:val="21"/>
                <w:szCs w:val="21"/>
                <w:highlight w:val="none"/>
                <w:shd w:val="clear" w:color="auto" w:fill="auto"/>
              </w:rPr>
              <w:t xml:space="preserve">要求</w:t>
            </w:r>
            <w:r/>
          </w:p>
        </w:tc>
        <w:tc>
          <w:tcPr>
            <w:tcW w:w="2052" w:type="dxa"/>
            <w:vAlign w:val="center"/>
            <w:textDirection w:val="lrTb"/>
            <w:noWrap w:val="false"/>
          </w:tcPr>
          <w:p>
            <w:pPr>
              <w:pStyle w:val="963"/>
              <w:ind w:firstLine="0"/>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响应情况</w:t>
            </w:r>
            <w:r/>
          </w:p>
        </w:tc>
        <w:tc>
          <w:tcPr>
            <w:tcW w:w="2496" w:type="dxa"/>
            <w:vAlign w:val="center"/>
            <w:textDirection w:val="lrTb"/>
            <w:noWrap w:val="false"/>
          </w:tcPr>
          <w:p>
            <w:pPr>
              <w:pStyle w:val="963"/>
              <w:ind w:firstLine="0"/>
              <w:jc w:val="center"/>
              <w:spacing w:line="360" w:lineRule="auto"/>
              <w:rPr>
                <w:rFonts w:hint="eastAsia" w:ascii="宋体" w:hAnsi="宋体" w:eastAsia="宋体"/>
                <w:color w:val="auto"/>
                <w:sz w:val="21"/>
                <w:szCs w:val="21"/>
                <w:highlight w:val="none"/>
                <w:shd w:val="clear" w:color="auto" w:fill="auto"/>
              </w:rPr>
            </w:pPr>
            <w:r>
              <w:rPr>
                <w:rFonts w:ascii="宋体" w:hAnsi="宋体" w:eastAsia="宋体"/>
                <w:color w:val="auto"/>
                <w:sz w:val="21"/>
                <w:szCs w:val="21"/>
                <w:highlight w:val="none"/>
                <w:shd w:val="clear" w:color="auto" w:fill="auto"/>
              </w:rPr>
              <w:t xml:space="preserve">偏离说明</w:t>
            </w:r>
            <w:r/>
          </w:p>
        </w:tc>
      </w:tr>
      <w:tr>
        <w:trPr>
          <w:trHeight w:val="567"/>
        </w:trPr>
        <w:tc>
          <w:tcPr>
            <w:tcW w:w="771" w:type="dxa"/>
            <w:vAlign w:val="center"/>
            <w:textDirection w:val="lrTb"/>
            <w:noWrap w:val="false"/>
          </w:tcPr>
          <w:p>
            <w:pPr>
              <w:jc w:val="center"/>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w:t>
            </w:r>
            <w:r/>
          </w:p>
        </w:tc>
        <w:tc>
          <w:tcPr>
            <w:tcW w:w="1870" w:type="dxa"/>
            <w:textDirection w:val="lrTb"/>
            <w:noWrap w:val="false"/>
          </w:tcPr>
          <w:p>
            <w:pPr>
              <w:pStyle w:val="963"/>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1" w:type="dxa"/>
            <w:textDirection w:val="lrTb"/>
            <w:noWrap w:val="false"/>
          </w:tcPr>
          <w:p>
            <w:pPr>
              <w:pStyle w:val="963"/>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2" w:type="dxa"/>
            <w:textDirection w:val="lrTb"/>
            <w:noWrap w:val="false"/>
          </w:tcPr>
          <w:p>
            <w:pPr>
              <w:pStyle w:val="963"/>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496" w:type="dxa"/>
            <w:textDirection w:val="lrTb"/>
            <w:noWrap w:val="false"/>
          </w:tcPr>
          <w:p>
            <w:pPr>
              <w:pStyle w:val="963"/>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trHeight w:val="567"/>
        </w:trPr>
        <w:tc>
          <w:tcPr>
            <w:tcW w:w="771" w:type="dxa"/>
            <w:vAlign w:val="center"/>
            <w:textDirection w:val="lrTb"/>
            <w:noWrap w:val="false"/>
          </w:tcPr>
          <w:p>
            <w:pPr>
              <w:jc w:val="center"/>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w:t>
            </w:r>
            <w:r/>
          </w:p>
        </w:tc>
        <w:tc>
          <w:tcPr>
            <w:tcW w:w="1870" w:type="dxa"/>
            <w:textDirection w:val="lrTb"/>
            <w:noWrap w:val="false"/>
          </w:tcPr>
          <w:p>
            <w:pPr>
              <w:pStyle w:val="963"/>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1" w:type="dxa"/>
            <w:textDirection w:val="lrTb"/>
            <w:noWrap w:val="false"/>
          </w:tcPr>
          <w:p>
            <w:pPr>
              <w:pStyle w:val="963"/>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2" w:type="dxa"/>
            <w:textDirection w:val="lrTb"/>
            <w:noWrap w:val="false"/>
          </w:tcPr>
          <w:p>
            <w:pPr>
              <w:pStyle w:val="963"/>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496" w:type="dxa"/>
            <w:textDirection w:val="lrTb"/>
            <w:noWrap w:val="false"/>
          </w:tcPr>
          <w:p>
            <w:pPr>
              <w:pStyle w:val="963"/>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trHeight w:val="567"/>
        </w:trPr>
        <w:tc>
          <w:tcPr>
            <w:tcW w:w="771" w:type="dxa"/>
            <w:vAlign w:val="center"/>
            <w:textDirection w:val="lrTb"/>
            <w:noWrap w:val="false"/>
          </w:tcPr>
          <w:p>
            <w:pPr>
              <w:jc w:val="center"/>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w:t>
            </w:r>
            <w:r/>
          </w:p>
        </w:tc>
        <w:tc>
          <w:tcPr>
            <w:tcW w:w="1870" w:type="dxa"/>
            <w:textDirection w:val="lrTb"/>
            <w:noWrap w:val="false"/>
          </w:tcPr>
          <w:p>
            <w:pPr>
              <w:pStyle w:val="963"/>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1" w:type="dxa"/>
            <w:textDirection w:val="lrTb"/>
            <w:noWrap w:val="false"/>
          </w:tcPr>
          <w:p>
            <w:pPr>
              <w:pStyle w:val="963"/>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2" w:type="dxa"/>
            <w:textDirection w:val="lrTb"/>
            <w:noWrap w:val="false"/>
          </w:tcPr>
          <w:p>
            <w:pPr>
              <w:pStyle w:val="963"/>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496" w:type="dxa"/>
            <w:textDirection w:val="lrTb"/>
            <w:noWrap w:val="false"/>
          </w:tcPr>
          <w:p>
            <w:pPr>
              <w:pStyle w:val="963"/>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bl>
    <w:p>
      <w:pPr>
        <w:ind w:firstLine="630"/>
        <w:jc w:val="left"/>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供应商：（公章）</w:t>
      </w:r>
      <w:r/>
    </w:p>
    <w:p>
      <w:pPr>
        <w:ind w:firstLine="630"/>
        <w:jc w:val="left"/>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法定代表人或代理人（签字或盖章）</w:t>
      </w:r>
      <w:r>
        <w:rPr>
          <w:rFonts w:hint="eastAsia" w:ascii="宋体" w:hAnsi="宋体"/>
          <w:bCs/>
          <w:color w:val="auto"/>
          <w:szCs w:val="21"/>
          <w:highlight w:val="none"/>
          <w:shd w:val="clear" w:color="auto" w:fill="auto"/>
        </w:rPr>
        <w:t xml:space="preserve">：</w:t>
      </w:r>
      <w:r/>
    </w:p>
    <w:p>
      <w:pPr>
        <w:ind w:firstLine="630"/>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日期</w:t>
      </w:r>
      <w:r>
        <w:rPr>
          <w:rFonts w:ascii="宋体" w:hAnsi="宋体"/>
          <w:bCs/>
          <w:color w:val="auto"/>
          <w:szCs w:val="21"/>
          <w:highlight w:val="none"/>
          <w:shd w:val="clear" w:color="auto" w:fill="auto"/>
        </w:rPr>
        <w:t xml:space="preserve">:</w:t>
      </w:r>
      <w:r/>
    </w:p>
    <w:p>
      <w:pPr>
        <w:spacing w:line="360" w:lineRule="auto"/>
        <w:rPr>
          <w:rFonts w:hint="eastAsia" w:hAnsi="宋体"/>
          <w:b/>
          <w:color w:val="auto"/>
          <w:szCs w:val="21"/>
          <w:highlight w:val="none"/>
          <w:shd w:val="clear" w:color="auto" w:fill="auto"/>
        </w:rPr>
      </w:pPr>
      <w:r>
        <w:rPr>
          <w:rFonts w:hint="eastAsia" w:hAnsi="宋体"/>
          <w:b/>
          <w:color w:val="auto"/>
          <w:szCs w:val="21"/>
          <w:highlight w:val="none"/>
          <w:shd w:val="clear" w:color="auto" w:fill="auto"/>
        </w:rPr>
      </w:r>
      <w:r/>
    </w:p>
    <w:p>
      <w:pPr>
        <w:jc w:val="center"/>
        <w:spacing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p>
      <w:pPr>
        <w:spacing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附件5、商务条款偏离表</w:t>
      </w:r>
      <w:r/>
    </w:p>
    <w:p>
      <w:pPr>
        <w:ind w:firstLine="630"/>
        <w:spacing w:line="400" w:lineRule="exact"/>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r>
      <w:r/>
    </w:p>
    <w:p>
      <w:pPr>
        <w:jc w:val="center"/>
        <w:spacing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商务条款偏离表</w:t>
      </w:r>
      <w:r/>
    </w:p>
    <w:p>
      <w:pPr>
        <w:ind w:firstLine="630"/>
        <w:spacing w:line="380" w:lineRule="exact"/>
        <w:rPr>
          <w:rFonts w:hint="eastAsia" w:ascii="宋体" w:hAnsi="宋体" w:cs="宋体"/>
          <w:b/>
          <w:color w:val="auto"/>
          <w:spacing w:val="20"/>
          <w:szCs w:val="21"/>
          <w:highlight w:val="none"/>
          <w:shd w:val="clear" w:color="auto" w:fill="auto"/>
        </w:rPr>
      </w:pPr>
      <w:r>
        <w:rPr>
          <w:rFonts w:hint="eastAsia" w:ascii="宋体" w:hAnsi="宋体" w:cs="宋体"/>
          <w:color w:val="auto"/>
          <w:szCs w:val="21"/>
          <w:highlight w:val="none"/>
          <w:shd w:val="clear" w:color="auto" w:fill="auto"/>
        </w:rPr>
        <w:t xml:space="preserve">供应商</w:t>
      </w:r>
      <w:r>
        <w:rPr>
          <w:rFonts w:hint="eastAsia" w:ascii="宋体" w:hAnsi="宋体" w:cs="宋体"/>
          <w:color w:val="auto"/>
          <w:szCs w:val="21"/>
          <w:highlight w:val="none"/>
          <w:shd w:val="clear" w:color="auto" w:fill="auto"/>
          <w:lang w:val="zh-CN"/>
        </w:rPr>
        <w:t xml:space="preserve">：               </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采购编号∶</w:t>
      </w:r>
      <w:r/>
    </w:p>
    <w:tbl>
      <w:tblPr>
        <w:tblStyle w:val="955"/>
        <w:tblW w:w="9180" w:type="dxa"/>
        <w:tblInd w:w="42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701"/>
      </w:tblGrid>
      <w:tr>
        <w:trPr>
          <w:cantSplit/>
          <w:trHeight w:val="567"/>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序号</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采购文件要求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投标响应</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偏离说明</w:t>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备注</w:t>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1</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en-US" w:eastAsia="zh-CN"/>
              </w:rPr>
              <w:t xml:space="preserve">履约</w:t>
            </w:r>
            <w:r>
              <w:rPr>
                <w:rFonts w:hint="eastAsia" w:ascii="宋体" w:hAnsi="宋体" w:cs="宋体"/>
                <w:color w:val="auto"/>
                <w:szCs w:val="21"/>
                <w:highlight w:val="none"/>
                <w:shd w:val="clear" w:color="auto" w:fill="auto"/>
                <w:lang w:val="zh-CN"/>
              </w:rPr>
              <w:t xml:space="preserve">期限</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Cs w:val="21"/>
                <w:highlight w:val="none"/>
                <w:shd w:val="clear" w:color="auto" w:fill="auto"/>
                <w:lang w:val="en-US" w:eastAsia="zh-CN"/>
              </w:rPr>
            </w:pPr>
            <w:r>
              <w:rPr>
                <w:rFonts w:hint="eastAsia" w:ascii="宋体" w:hAnsi="宋体" w:cs="宋体"/>
                <w:bCs/>
                <w:color w:val="auto"/>
                <w:szCs w:val="21"/>
                <w:highlight w:val="none"/>
                <w:shd w:val="clear" w:color="auto" w:fill="auto"/>
                <w:lang w:val="en-US" w:eastAsia="zh-CN"/>
              </w:rPr>
              <w:t xml:space="preserve">2</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default"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履约地点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Cs w:val="21"/>
                <w:highlight w:val="none"/>
                <w:shd w:val="clear" w:color="auto" w:fill="auto"/>
                <w:lang w:eastAsia="zh-CN"/>
              </w:rPr>
            </w:pPr>
            <w:r>
              <w:rPr>
                <w:rFonts w:hint="eastAsia" w:ascii="宋体" w:hAnsi="宋体" w:cs="宋体"/>
                <w:bCs/>
                <w:color w:val="auto"/>
                <w:szCs w:val="21"/>
                <w:highlight w:val="none"/>
                <w:shd w:val="clear" w:color="auto" w:fill="auto"/>
                <w:lang w:val="en-US" w:eastAsia="zh-CN"/>
              </w:rPr>
              <w:t xml:space="preserve">3</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bl>
    <w:p>
      <w:pPr>
        <w:ind w:firstLine="630"/>
        <w:jc w:val="left"/>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供应商：（公章）</w:t>
      </w:r>
      <w:r/>
    </w:p>
    <w:p>
      <w:pPr>
        <w:ind w:firstLine="630"/>
        <w:jc w:val="left"/>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法定代表人或代理人（签字或盖章）</w:t>
      </w:r>
      <w:r>
        <w:rPr>
          <w:rFonts w:hint="eastAsia" w:ascii="宋体" w:hAnsi="宋体" w:cs="宋体"/>
          <w:bCs/>
          <w:color w:val="auto"/>
          <w:szCs w:val="21"/>
          <w:highlight w:val="none"/>
          <w:shd w:val="clear" w:color="auto" w:fill="auto"/>
        </w:rPr>
        <w:t xml:space="preserve">：</w:t>
      </w:r>
      <w:r/>
    </w:p>
    <w:p>
      <w:pPr>
        <w:ind w:firstLine="630"/>
        <w:spacing w:line="400" w:lineRule="exact"/>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日期:</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注：</w:t>
      </w:r>
      <w:r>
        <w:rPr>
          <w:rFonts w:hint="eastAsia" w:ascii="宋体" w:hAnsi="宋体" w:cs="宋体"/>
          <w:color w:val="auto"/>
          <w:szCs w:val="21"/>
          <w:highlight w:val="none"/>
          <w:shd w:val="clear" w:color="auto" w:fill="auto"/>
        </w:rPr>
        <w:t xml:space="preserve">1.响应单位提交的响应文件中与采购文件的技术、商务部分的要求有不同时，应在本表中把采购文件要求与投标实际响应内容逐项对应列出。</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2.若事项较多，响应单位可根据投标内容的实际情况另纸说明。</w:t>
      </w:r>
      <w:r/>
    </w:p>
    <w:p>
      <w:pPr>
        <w:pStyle w:val="963"/>
        <w:ind w:firstLine="0"/>
        <w:spacing w:line="400" w:lineRule="exact"/>
        <w:rPr>
          <w:rFonts w:hint="eastAsia" w:ascii="宋体" w:hAnsi="宋体"/>
          <w:b/>
          <w:color w:val="auto"/>
          <w:sz w:val="21"/>
          <w:szCs w:val="21"/>
          <w:highlight w:val="none"/>
          <w:shd w:val="clear" w:color="auto" w:fill="auto"/>
        </w:rPr>
      </w:pPr>
      <w:r>
        <w:rPr>
          <w:rFonts w:ascii="宋体" w:hAnsi="宋体"/>
          <w:b/>
          <w:color w:val="auto"/>
          <w:spacing w:val="20"/>
          <w:szCs w:val="21"/>
          <w:highlight w:val="none"/>
          <w:shd w:val="clear" w:color="auto" w:fill="auto"/>
        </w:rPr>
        <w:br w:type="page" w:clear="all"/>
      </w:r>
      <w:r>
        <w:rPr>
          <w:rFonts w:hint="eastAsia" w:ascii="宋体" w:hAnsi="宋体" w:eastAsia="宋体"/>
          <w:b/>
          <w:color w:val="auto"/>
          <w:sz w:val="21"/>
          <w:szCs w:val="21"/>
          <w:highlight w:val="none"/>
          <w:shd w:val="clear" w:color="auto" w:fill="auto"/>
        </w:rPr>
        <w:t xml:space="preserve">附件6、配备人员一览表</w:t>
      </w:r>
      <w:r/>
    </w:p>
    <w:p>
      <w:pPr>
        <w:jc w:val="center"/>
        <w:spacing w:line="360" w:lineRule="auto"/>
        <w:rPr>
          <w:rFonts w:ascii="宋体" w:hAnsi="Courier New"/>
          <w:b/>
          <w:color w:val="auto"/>
          <w:szCs w:val="21"/>
          <w:highlight w:val="none"/>
          <w:shd w:val="clear" w:color="auto" w:fill="auto"/>
        </w:rPr>
      </w:pPr>
      <w:r>
        <w:rPr>
          <w:rFonts w:hint="eastAsia" w:ascii="宋体" w:hAnsi="Courier New"/>
          <w:b/>
          <w:color w:val="auto"/>
          <w:szCs w:val="21"/>
          <w:highlight w:val="none"/>
          <w:shd w:val="clear" w:color="auto" w:fill="auto"/>
        </w:rPr>
        <w:t xml:space="preserve">配备人员一览表</w:t>
      </w:r>
      <w:r/>
    </w:p>
    <w:tbl>
      <w:tblPr>
        <w:tblStyle w:val="955"/>
        <w:tblW w:w="9318" w:type="dxa"/>
        <w:tblInd w:w="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788"/>
        <w:gridCol w:w="851"/>
        <w:gridCol w:w="850"/>
        <w:gridCol w:w="850"/>
        <w:gridCol w:w="850"/>
        <w:gridCol w:w="1135"/>
        <w:gridCol w:w="909"/>
        <w:gridCol w:w="850"/>
        <w:gridCol w:w="1418"/>
      </w:tblGrid>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color w:val="auto"/>
                <w:szCs w:val="21"/>
                <w:highlight w:val="none"/>
                <w:shd w:val="clear" w:color="auto" w:fill="auto"/>
              </w:rPr>
              <w:t xml:space="preserve">序号</w:t>
            </w:r>
            <w:r/>
          </w:p>
        </w:tc>
        <w:tc>
          <w:tcPr>
            <w:tcW w:w="788" w:type="dxa"/>
            <w:vAlign w:val="center"/>
            <w:textDirection w:val="lrTb"/>
            <w:noWrap w:val="false"/>
          </w:tcPr>
          <w:p>
            <w:pPr>
              <w:jc w:val="center"/>
              <w:rPr>
                <w:color w:val="auto"/>
                <w:szCs w:val="21"/>
                <w:highlight w:val="none"/>
                <w:shd w:val="clear" w:color="auto" w:fill="auto"/>
              </w:rPr>
            </w:pPr>
            <w:r>
              <w:rPr>
                <w:rFonts w:cs="Arial"/>
                <w:color w:val="auto"/>
                <w:szCs w:val="21"/>
                <w:highlight w:val="none"/>
                <w:shd w:val="clear" w:color="auto" w:fill="auto"/>
              </w:rPr>
              <w:t xml:space="preserve">姓名</w:t>
            </w:r>
            <w:r/>
          </w:p>
        </w:tc>
        <w:tc>
          <w:tcPr>
            <w:tcW w:w="851" w:type="dxa"/>
            <w:vAlign w:val="center"/>
            <w:textDirection w:val="lrTb"/>
            <w:noWrap w:val="false"/>
          </w:tcPr>
          <w:p>
            <w:pPr>
              <w:jc w:val="center"/>
              <w:rPr>
                <w:color w:val="auto"/>
                <w:szCs w:val="21"/>
                <w:highlight w:val="none"/>
                <w:shd w:val="clear" w:color="auto" w:fill="auto"/>
              </w:rPr>
            </w:pPr>
            <w:r>
              <w:rPr>
                <w:rFonts w:cs="Arial"/>
                <w:color w:val="auto"/>
                <w:szCs w:val="21"/>
                <w:highlight w:val="none"/>
                <w:shd w:val="clear" w:color="auto" w:fill="auto"/>
              </w:rPr>
              <w:t xml:space="preserve">在本项目中的职位</w:t>
            </w:r>
            <w:r/>
          </w:p>
        </w:tc>
        <w:tc>
          <w:tcPr>
            <w:tcW w:w="850" w:type="dxa"/>
            <w:vAlign w:val="center"/>
            <w:textDirection w:val="lrTb"/>
            <w:noWrap w:val="false"/>
          </w:tcPr>
          <w:p>
            <w:pPr>
              <w:jc w:val="center"/>
              <w:rPr>
                <w:color w:val="auto"/>
                <w:szCs w:val="21"/>
                <w:highlight w:val="none"/>
                <w:shd w:val="clear" w:color="auto" w:fill="auto"/>
              </w:rPr>
            </w:pPr>
            <w:r>
              <w:rPr>
                <w:rFonts w:cs="Arial"/>
                <w:color w:val="auto"/>
                <w:szCs w:val="21"/>
                <w:highlight w:val="none"/>
                <w:shd w:val="clear" w:color="auto" w:fill="auto"/>
              </w:rPr>
              <w:t xml:space="preserve">年龄</w:t>
            </w:r>
            <w:r/>
          </w:p>
        </w:tc>
        <w:tc>
          <w:tcPr>
            <w:tcW w:w="850" w:type="dxa"/>
            <w:vAlign w:val="center"/>
            <w:textDirection w:val="lrTb"/>
            <w:noWrap w:val="false"/>
          </w:tcPr>
          <w:p>
            <w:pPr>
              <w:jc w:val="center"/>
              <w:rPr>
                <w:color w:val="auto"/>
                <w:szCs w:val="21"/>
                <w:highlight w:val="none"/>
                <w:shd w:val="clear" w:color="auto" w:fill="auto"/>
              </w:rPr>
            </w:pPr>
            <w:r>
              <w:rPr>
                <w:rFonts w:cs="Arial"/>
                <w:color w:val="auto"/>
                <w:szCs w:val="21"/>
                <w:highlight w:val="none"/>
                <w:shd w:val="clear" w:color="auto" w:fill="auto"/>
              </w:rPr>
              <w:t xml:space="preserve">职称</w:t>
            </w:r>
            <w:r/>
          </w:p>
        </w:tc>
        <w:tc>
          <w:tcPr>
            <w:tcW w:w="850" w:type="dxa"/>
            <w:vAlign w:val="center"/>
            <w:textDirection w:val="lrTb"/>
            <w:noWrap w:val="false"/>
          </w:tcPr>
          <w:p>
            <w:pPr>
              <w:jc w:val="center"/>
              <w:rPr>
                <w:color w:val="auto"/>
                <w:szCs w:val="21"/>
                <w:highlight w:val="none"/>
                <w:shd w:val="clear" w:color="auto" w:fill="auto"/>
              </w:rPr>
            </w:pPr>
            <w:r>
              <w:rPr>
                <w:rFonts w:cs="Arial"/>
                <w:color w:val="auto"/>
                <w:szCs w:val="21"/>
                <w:highlight w:val="none"/>
                <w:shd w:val="clear" w:color="auto" w:fill="auto"/>
              </w:rPr>
              <w:t xml:space="preserve">学历</w:t>
            </w:r>
            <w:r/>
          </w:p>
        </w:tc>
        <w:tc>
          <w:tcPr>
            <w:tcW w:w="1135" w:type="dxa"/>
            <w:vAlign w:val="center"/>
            <w:textDirection w:val="lrTb"/>
            <w:noWrap w:val="false"/>
          </w:tcPr>
          <w:p>
            <w:pPr>
              <w:jc w:val="center"/>
              <w:rPr>
                <w:color w:val="auto"/>
                <w:szCs w:val="21"/>
                <w:highlight w:val="none"/>
                <w:shd w:val="clear" w:color="auto" w:fill="auto"/>
              </w:rPr>
            </w:pPr>
            <w:r>
              <w:rPr>
                <w:rFonts w:hint="eastAsia" w:cs="Arial"/>
                <w:color w:val="auto"/>
                <w:szCs w:val="21"/>
                <w:highlight w:val="none"/>
                <w:shd w:val="clear" w:color="auto" w:fill="auto"/>
              </w:rPr>
              <w:t xml:space="preserve">专业</w:t>
            </w:r>
            <w:r/>
          </w:p>
        </w:tc>
        <w:tc>
          <w:tcPr>
            <w:tcW w:w="909" w:type="dxa"/>
            <w:vAlign w:val="center"/>
            <w:textDirection w:val="lrTb"/>
            <w:noWrap w:val="false"/>
          </w:tcPr>
          <w:p>
            <w:pPr>
              <w:jc w:val="center"/>
              <w:rPr>
                <w:color w:val="auto"/>
                <w:szCs w:val="21"/>
                <w:highlight w:val="none"/>
                <w:shd w:val="clear" w:color="auto" w:fill="auto"/>
              </w:rPr>
            </w:pPr>
            <w:r>
              <w:rPr>
                <w:rFonts w:hint="eastAsia" w:cs="Arial"/>
                <w:color w:val="auto"/>
                <w:szCs w:val="21"/>
                <w:highlight w:val="none"/>
                <w:shd w:val="clear" w:color="auto" w:fill="auto"/>
              </w:rPr>
              <w:t xml:space="preserve">入本机构时间</w:t>
            </w:r>
            <w:r/>
          </w:p>
        </w:tc>
        <w:tc>
          <w:tcPr>
            <w:tcW w:w="850" w:type="dxa"/>
            <w:vAlign w:val="center"/>
            <w:textDirection w:val="lrTb"/>
            <w:noWrap w:val="false"/>
          </w:tcPr>
          <w:p>
            <w:pPr>
              <w:jc w:val="center"/>
              <w:rPr>
                <w:color w:val="auto"/>
                <w:szCs w:val="21"/>
                <w:highlight w:val="none"/>
                <w:shd w:val="clear" w:color="auto" w:fill="auto"/>
              </w:rPr>
            </w:pPr>
            <w:r>
              <w:rPr>
                <w:rFonts w:hint="eastAsia" w:cs="Arial"/>
                <w:color w:val="auto"/>
                <w:szCs w:val="21"/>
                <w:highlight w:val="none"/>
                <w:shd w:val="clear" w:color="auto" w:fill="auto"/>
              </w:rPr>
              <w:t xml:space="preserve">相关工作经验年限</w:t>
            </w:r>
            <w:r/>
          </w:p>
        </w:tc>
        <w:tc>
          <w:tcPr>
            <w:tcW w:w="1418" w:type="dxa"/>
            <w:vAlign w:val="center"/>
            <w:textDirection w:val="lrTb"/>
            <w:noWrap w:val="false"/>
          </w:tcPr>
          <w:p>
            <w:pPr>
              <w:jc w:val="center"/>
              <w:rPr>
                <w:rFonts w:hint="default" w:eastAsia="宋体"/>
                <w:color w:val="auto"/>
                <w:szCs w:val="21"/>
                <w:highlight w:val="none"/>
                <w:shd w:val="clear" w:color="auto" w:fill="auto"/>
                <w:lang w:val="en-US" w:eastAsia="zh-CN"/>
              </w:rPr>
            </w:pPr>
            <w:r>
              <w:rPr>
                <w:rFonts w:hint="eastAsia"/>
                <w:color w:val="auto"/>
                <w:szCs w:val="21"/>
                <w:highlight w:val="none"/>
                <w:shd w:val="clear" w:color="auto" w:fill="auto"/>
                <w:lang w:val="en-US" w:eastAsia="zh-CN"/>
              </w:rPr>
              <w:t xml:space="preserve">证书情况</w:t>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1</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2</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3</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4</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5</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bl>
    <w:p>
      <w:pPr>
        <w:pStyle w:val="1011"/>
        <w:rPr>
          <w:rFonts w:hint="eastAsia"/>
          <w:color w:val="auto"/>
          <w:highlight w:val="none"/>
          <w:shd w:val="clear" w:color="auto" w:fill="auto"/>
        </w:rPr>
      </w:pPr>
      <w:r>
        <w:rPr>
          <w:rFonts w:hint="eastAsia"/>
          <w:color w:val="auto"/>
          <w:highlight w:val="none"/>
          <w:shd w:val="clear" w:color="auto" w:fill="auto"/>
        </w:rPr>
      </w:r>
      <w:r/>
    </w:p>
    <w:p>
      <w:pPr>
        <w:ind w:firstLine="525"/>
        <w:spacing w:line="360" w:lineRule="exact"/>
        <w:rPr>
          <w:rFonts w:ascii="宋体" w:hAnsi="Courier New"/>
          <w:color w:val="auto"/>
          <w:szCs w:val="21"/>
          <w:highlight w:val="none"/>
          <w:shd w:val="clear" w:color="auto" w:fill="auto"/>
        </w:rPr>
      </w:pPr>
      <w:r>
        <w:rPr>
          <w:rFonts w:hint="eastAsia" w:ascii="宋体" w:hAnsi="Courier New"/>
          <w:color w:val="auto"/>
          <w:szCs w:val="21"/>
          <w:highlight w:val="none"/>
          <w:shd w:val="clear" w:color="auto" w:fill="auto"/>
        </w:rPr>
        <w:t xml:space="preserve">供应商：（公章）</w:t>
      </w:r>
      <w:r/>
    </w:p>
    <w:p>
      <w:pPr>
        <w:ind w:firstLine="525"/>
        <w:spacing w:line="360" w:lineRule="exact"/>
        <w:rPr>
          <w:rFonts w:ascii="宋体" w:hAnsi="Courier New"/>
          <w:color w:val="auto"/>
          <w:szCs w:val="21"/>
          <w:highlight w:val="none"/>
          <w:shd w:val="clear" w:color="auto" w:fill="auto"/>
        </w:rPr>
      </w:pPr>
      <w:r>
        <w:rPr>
          <w:rFonts w:hint="eastAsia" w:ascii="宋体" w:hAnsi="Courier New"/>
          <w:color w:val="auto"/>
          <w:szCs w:val="21"/>
          <w:highlight w:val="none"/>
          <w:shd w:val="clear" w:color="auto" w:fill="auto"/>
        </w:rPr>
        <w:t xml:space="preserve">法定代表人或代理人：（签字或盖章）</w:t>
      </w:r>
      <w:r/>
    </w:p>
    <w:p>
      <w:pPr>
        <w:ind w:firstLine="525"/>
        <w:spacing w:line="360" w:lineRule="exact"/>
        <w:rPr>
          <w:rFonts w:ascii="宋体" w:hAnsi="Courier New"/>
          <w:color w:val="auto"/>
          <w:sz w:val="24"/>
          <w:highlight w:val="none"/>
          <w:shd w:val="clear" w:color="auto" w:fill="auto"/>
        </w:rPr>
      </w:pPr>
      <w:r>
        <w:rPr>
          <w:rFonts w:hint="eastAsia" w:ascii="宋体" w:hAnsi="Courier New"/>
          <w:color w:val="auto"/>
          <w:szCs w:val="21"/>
          <w:highlight w:val="none"/>
          <w:shd w:val="clear" w:color="auto" w:fill="auto"/>
        </w:rPr>
        <w:t xml:space="preserve">日期：</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年</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月</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日</w:t>
      </w:r>
      <w:r/>
    </w:p>
    <w:p>
      <w:pPr>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br w:type="page" w:clear="all"/>
      </w:r>
      <w:r/>
    </w:p>
    <w:p>
      <w:pPr>
        <w:jc w:val="left"/>
        <w:spacing w:line="400" w:lineRule="exact"/>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附件7、类似项目业绩一览表</w:t>
      </w:r>
      <w:r/>
    </w:p>
    <w:p>
      <w:pPr>
        <w:jc w:val="center"/>
        <w:spacing w:line="360" w:lineRule="auto"/>
        <w:rPr>
          <w:rFonts w:ascii="宋体" w:hAnsi="Courier New"/>
          <w:b/>
          <w:color w:val="auto"/>
          <w:szCs w:val="21"/>
          <w:highlight w:val="none"/>
          <w:shd w:val="clear" w:color="auto" w:fill="auto"/>
        </w:rPr>
      </w:pPr>
      <w:r>
        <w:rPr>
          <w:rFonts w:hint="eastAsia" w:ascii="宋体" w:hAnsi="Courier New"/>
          <w:b/>
          <w:color w:val="auto"/>
          <w:szCs w:val="21"/>
          <w:highlight w:val="none"/>
          <w:shd w:val="clear" w:color="auto" w:fill="auto"/>
        </w:rPr>
        <w:t xml:space="preserve">类似项目业绩一览表</w:t>
      </w:r>
      <w:r/>
    </w:p>
    <w:tbl>
      <w:tblPr>
        <w:tblStyle w:val="955"/>
        <w:tblW w:w="100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2237"/>
        <w:gridCol w:w="1787"/>
        <w:gridCol w:w="1787"/>
        <w:gridCol w:w="2085"/>
        <w:gridCol w:w="1425"/>
      </w:tblGrid>
      <w:tr>
        <w:trPr>
          <w:jc w:val="center"/>
          <w:trHeight w:val="917"/>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序号</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合同名称</w:t>
            </w:r>
            <w:r/>
          </w:p>
        </w:tc>
        <w:tc>
          <w:tcPr>
            <w:tcW w:w="1787" w:type="dxa"/>
            <w:vAlign w:val="center"/>
            <w:textDirection w:val="lrTb"/>
            <w:noWrap w:val="false"/>
          </w:tcPr>
          <w:p>
            <w:pPr>
              <w:jc w:val="center"/>
              <w:tabs>
                <w:tab w:val="left" w:pos="6252"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业主单位</w:t>
            </w:r>
            <w:r/>
          </w:p>
        </w:tc>
        <w:tc>
          <w:tcPr>
            <w:tcW w:w="1787" w:type="dxa"/>
            <w:vAlign w:val="center"/>
            <w:textDirection w:val="lrTb"/>
            <w:noWrap w:val="false"/>
          </w:tcPr>
          <w:p>
            <w:pPr>
              <w:jc w:val="center"/>
              <w:tabs>
                <w:tab w:val="left" w:pos="6252"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项目时间</w:t>
            </w:r>
            <w:r/>
          </w:p>
        </w:tc>
        <w:tc>
          <w:tcPr>
            <w:tcW w:w="2085" w:type="dxa"/>
            <w:vAlign w:val="center"/>
            <w:textDirection w:val="lrTb"/>
            <w:noWrap w:val="false"/>
          </w:tcPr>
          <w:p>
            <w:pPr>
              <w:jc w:val="center"/>
              <w:tabs>
                <w:tab w:val="left" w:pos="6252"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合同金额</w:t>
            </w:r>
            <w:r/>
          </w:p>
        </w:tc>
        <w:tc>
          <w:tcPr>
            <w:tcW w:w="1425" w:type="dxa"/>
            <w:vAlign w:val="center"/>
            <w:textDirection w:val="lrTb"/>
            <w:noWrap w:val="false"/>
          </w:tcPr>
          <w:p>
            <w:pPr>
              <w:jc w:val="center"/>
              <w:tabs>
                <w:tab w:val="left" w:pos="6252"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备注</w:t>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3</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4</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5</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bl>
    <w:p>
      <w:pPr>
        <w:ind w:firstLine="525"/>
        <w:spacing w:line="360" w:lineRule="exact"/>
        <w:rPr>
          <w:rFonts w:ascii="宋体" w:hAnsi="Courier New"/>
          <w:color w:val="auto"/>
          <w:szCs w:val="21"/>
          <w:highlight w:val="none"/>
          <w:shd w:val="clear" w:color="auto" w:fill="auto"/>
        </w:rPr>
      </w:pPr>
      <w:r>
        <w:rPr>
          <w:rFonts w:hint="eastAsia" w:ascii="宋体" w:hAnsi="Courier New"/>
          <w:color w:val="auto"/>
          <w:szCs w:val="21"/>
          <w:highlight w:val="none"/>
          <w:shd w:val="clear" w:color="auto" w:fill="auto"/>
        </w:rPr>
        <w:t xml:space="preserve">供应商：（公章）</w:t>
      </w:r>
      <w:r/>
    </w:p>
    <w:p>
      <w:pPr>
        <w:ind w:firstLine="525"/>
        <w:spacing w:line="360" w:lineRule="exact"/>
        <w:rPr>
          <w:rFonts w:ascii="宋体" w:hAnsi="Courier New"/>
          <w:color w:val="auto"/>
          <w:szCs w:val="21"/>
          <w:highlight w:val="none"/>
          <w:shd w:val="clear" w:color="auto" w:fill="auto"/>
        </w:rPr>
      </w:pPr>
      <w:r>
        <w:rPr>
          <w:rFonts w:hint="eastAsia" w:ascii="宋体" w:hAnsi="Courier New"/>
          <w:color w:val="auto"/>
          <w:szCs w:val="21"/>
          <w:highlight w:val="none"/>
          <w:shd w:val="clear" w:color="auto" w:fill="auto"/>
        </w:rPr>
        <w:t xml:space="preserve">法定代表人或代理人：（签字或盖章）</w:t>
      </w:r>
      <w:r/>
    </w:p>
    <w:p>
      <w:pPr>
        <w:ind w:firstLine="525"/>
        <w:spacing w:line="360" w:lineRule="exact"/>
        <w:rPr>
          <w:rFonts w:ascii="宋体" w:hAnsi="Courier New"/>
          <w:color w:val="auto"/>
          <w:sz w:val="24"/>
          <w:highlight w:val="none"/>
          <w:shd w:val="clear" w:color="auto" w:fill="auto"/>
        </w:rPr>
      </w:pPr>
      <w:r>
        <w:rPr>
          <w:rFonts w:hint="eastAsia" w:ascii="宋体" w:hAnsi="Courier New"/>
          <w:color w:val="auto"/>
          <w:szCs w:val="21"/>
          <w:highlight w:val="none"/>
          <w:shd w:val="clear" w:color="auto" w:fill="auto"/>
        </w:rPr>
        <w:t xml:space="preserve">日期：</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年</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月</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日</w:t>
      </w:r>
      <w:r/>
    </w:p>
    <w:p>
      <w:pPr>
        <w:jc w:val="left"/>
        <w:spacing w:line="400" w:lineRule="exact"/>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p>
      <w:pPr>
        <w:pStyle w:val="945"/>
        <w:rPr>
          <w:color w:val="auto"/>
          <w:highlight w:val="none"/>
          <w:shd w:val="clear" w:color="auto" w:fill="auto"/>
        </w:rPr>
      </w:pPr>
      <w:r>
        <w:rPr>
          <w:color w:val="auto"/>
          <w:highlight w:val="none"/>
          <w:shd w:val="clear" w:color="auto" w:fill="auto"/>
        </w:rPr>
      </w:r>
      <w:r/>
    </w:p>
    <w:p>
      <w:pPr>
        <w:pStyle w:val="963"/>
        <w:ind w:firstLine="0"/>
        <w:spacing w:line="400" w:lineRule="exact"/>
        <w:rPr>
          <w:rFonts w:hint="eastAsia" w:ascii="宋体" w:hAnsi="宋体" w:eastAsia="宋体"/>
          <w:b/>
          <w:color w:val="auto"/>
          <w:sz w:val="21"/>
          <w:szCs w:val="21"/>
          <w:highlight w:val="none"/>
          <w:shd w:val="clear" w:color="auto" w:fill="auto"/>
        </w:rPr>
      </w:pPr>
      <w:r>
        <w:rPr>
          <w:rFonts w:hint="eastAsia" w:ascii="宋体" w:hAnsi="宋体" w:eastAsia="宋体"/>
          <w:b/>
          <w:color w:val="auto"/>
          <w:sz w:val="21"/>
          <w:szCs w:val="21"/>
          <w:highlight w:val="none"/>
          <w:shd w:val="clear" w:color="auto" w:fill="auto"/>
        </w:rPr>
        <w:t xml:space="preserve">附件8、相关证明文件</w:t>
      </w:r>
      <w:r/>
    </w:p>
    <w:p>
      <w:pPr>
        <w:pStyle w:val="963"/>
        <w:ind w:firstLine="0"/>
        <w:jc w:val="both"/>
        <w:rPr>
          <w:rFonts w:hint="eastAsia" w:ascii="宋体" w:hAnsi="宋体" w:eastAsia="宋体"/>
          <w:b/>
          <w:color w:val="auto"/>
          <w:sz w:val="21"/>
          <w:szCs w:val="21"/>
          <w:highlight w:val="none"/>
          <w:shd w:val="clear" w:color="auto" w:fill="auto"/>
        </w:rPr>
      </w:pPr>
      <w:r>
        <w:rPr>
          <w:rFonts w:hint="eastAsia" w:ascii="宋体" w:hAnsi="宋体" w:eastAsia="宋体"/>
          <w:b/>
          <w:color w:val="auto"/>
          <w:sz w:val="21"/>
          <w:szCs w:val="21"/>
          <w:highlight w:val="none"/>
          <w:shd w:val="clear" w:color="auto" w:fill="auto"/>
        </w:rPr>
        <w:t xml:space="preserve">(1) 资格文件的声明函</w:t>
      </w:r>
      <w:r/>
    </w:p>
    <w:p>
      <w:pPr>
        <w:pStyle w:val="963"/>
        <w:ind w:firstLine="0"/>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p>
      <w:pPr>
        <w:pStyle w:val="963"/>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资格文件的声明函</w:t>
      </w:r>
      <w:r/>
    </w:p>
    <w:p>
      <w:pPr>
        <w:pStyle w:val="963"/>
        <w:ind w:firstLine="0"/>
        <w:spacing w:line="400" w:lineRule="exact"/>
        <w:rPr>
          <w:rFonts w:hint="eastAsia" w:ascii="宋体" w:hAnsi="宋体" w:eastAsia="宋体"/>
          <w:color w:val="auto"/>
          <w:sz w:val="21"/>
          <w:szCs w:val="21"/>
          <w:highlight w:val="none"/>
          <w:shd w:val="clear" w:color="auto" w:fill="auto"/>
        </w:rPr>
      </w:pPr>
      <w:r>
        <w:rPr>
          <w:rFonts w:ascii="宋体" w:hAnsi="宋体" w:eastAsia="宋体"/>
          <w:color w:val="auto"/>
          <w:sz w:val="21"/>
          <w:szCs w:val="21"/>
          <w:highlight w:val="non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shd w:val="clear" w:color="auto" w:fill="auto"/>
        </w:rPr>
        <w:t xml:space="preserve">：</w:t>
      </w:r>
      <w:r/>
    </w:p>
    <w:p>
      <w:pPr>
        <w:pStyle w:val="963"/>
        <w:ind w:firstLine="660"/>
        <w:spacing w:line="400" w:lineRule="exact"/>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本公司愿就由贵公司组织实施的编号为</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u w:val="singl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u w:val="singl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u w:val="singl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u w:val="singl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shd w:val="clear" w:color="auto" w:fill="auto"/>
        </w:rPr>
        <w:t xml:space="preserve">号的磋商采购活动进行响应。本公司所提交的响应文件中所有关于响应文件、证明和陈述均是真实的、准确的、有效的。若与真实情况不符，本公司愿意承担由此而产生的一切后果。</w:t>
      </w:r>
      <w:r/>
    </w:p>
    <w:p>
      <w:pPr>
        <w:pStyle w:val="963"/>
        <w:spacing w:line="400" w:lineRule="exact"/>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p>
      <w:pPr>
        <w:pStyle w:val="963"/>
        <w:spacing w:line="400" w:lineRule="exact"/>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               </w:t>
      </w:r>
      <w:r>
        <w:rPr>
          <w:rFonts w:ascii="宋体" w:hAnsi="宋体" w:eastAsia="宋体"/>
          <w:color w:val="auto"/>
          <w:sz w:val="21"/>
          <w:szCs w:val="21"/>
          <w:highlight w:val="none"/>
          <w:shd w:val="clear" w:color="auto" w:fill="auto"/>
        </w:rPr>
        <w:t xml:space="preserve">       </w:t>
      </w:r>
      <w:r>
        <w:rPr>
          <w:rFonts w:hint="eastAsia" w:ascii="宋体" w:hAnsi="宋体" w:eastAsia="宋体"/>
          <w:color w:val="auto"/>
          <w:sz w:val="21"/>
          <w:szCs w:val="21"/>
          <w:highlight w:val="none"/>
          <w:shd w:val="clear" w:color="auto" w:fill="auto"/>
        </w:rPr>
        <w:t xml:space="preserve">  法定代表人（签字或盖章）：</w:t>
      </w:r>
      <w:r/>
    </w:p>
    <w:p>
      <w:pPr>
        <w:pStyle w:val="963"/>
        <w:ind w:left="1700" w:firstLine="425"/>
        <w:spacing w:line="400" w:lineRule="exact"/>
        <w:rPr>
          <w:rFonts w:hint="eastAsia" w:ascii="宋体" w:hAnsi="宋体" w:eastAsia="宋体"/>
          <w:color w:val="auto"/>
          <w:sz w:val="21"/>
          <w:szCs w:val="21"/>
          <w:highlight w:val="none"/>
          <w:shd w:val="clear" w:color="auto" w:fill="auto"/>
        </w:rPr>
      </w:pPr>
      <w:r>
        <w:rPr>
          <w:rFonts w:ascii="宋体" w:hAnsi="宋体" w:eastAsia="宋体"/>
          <w:color w:val="auto"/>
          <w:sz w:val="21"/>
          <w:szCs w:val="21"/>
          <w:highlight w:val="none"/>
          <w:shd w:val="clear" w:color="auto" w:fill="auto"/>
        </w:rPr>
        <w:t xml:space="preserve">        </w:t>
      </w:r>
      <w:r>
        <w:rPr>
          <w:rFonts w:hint="eastAsia" w:ascii="宋体" w:hAnsi="宋体" w:eastAsia="宋体"/>
          <w:color w:val="auto"/>
          <w:sz w:val="21"/>
          <w:szCs w:val="21"/>
          <w:highlight w:val="none"/>
          <w:shd w:val="clear" w:color="auto" w:fill="auto"/>
        </w:rPr>
        <w:t xml:space="preserve">供应商（公章）：</w:t>
      </w:r>
      <w:r/>
    </w:p>
    <w:p>
      <w:pPr>
        <w:pStyle w:val="963"/>
        <w:spacing w:line="400" w:lineRule="exact"/>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                                 年</w:t>
      </w:r>
      <w:r>
        <w:rPr>
          <w:rFonts w:ascii="宋体" w:hAnsi="宋体" w:eastAsia="宋体"/>
          <w:color w:val="auto"/>
          <w:sz w:val="21"/>
          <w:szCs w:val="21"/>
          <w:highlight w:val="none"/>
          <w:shd w:val="clear" w:color="auto" w:fill="auto"/>
        </w:rPr>
        <w:tab/>
      </w:r>
      <w:r>
        <w:rPr>
          <w:rFonts w:ascii="宋体" w:hAnsi="宋体" w:eastAsia="宋体"/>
          <w:color w:val="auto"/>
          <w:sz w:val="21"/>
          <w:szCs w:val="21"/>
          <w:highlight w:val="none"/>
          <w:shd w:val="clear" w:color="auto" w:fill="auto"/>
        </w:rPr>
        <w:t xml:space="preserve"> </w:t>
      </w:r>
      <w:r>
        <w:rPr>
          <w:rFonts w:hint="eastAsia" w:ascii="宋体" w:hAnsi="宋体" w:eastAsia="宋体"/>
          <w:color w:val="auto"/>
          <w:sz w:val="21"/>
          <w:szCs w:val="21"/>
          <w:highlight w:val="none"/>
          <w:shd w:val="clear" w:color="auto" w:fill="auto"/>
        </w:rPr>
        <w:t xml:space="preserve">月</w:t>
      </w:r>
      <w:r>
        <w:rPr>
          <w:rFonts w:ascii="宋体" w:hAnsi="宋体" w:eastAsia="宋体"/>
          <w:color w:val="auto"/>
          <w:sz w:val="21"/>
          <w:szCs w:val="21"/>
          <w:highlight w:val="none"/>
          <w:shd w:val="clear" w:color="auto" w:fill="auto"/>
        </w:rPr>
        <w:t xml:space="preserve"> </w:t>
      </w:r>
      <w:r>
        <w:rPr>
          <w:rFonts w:ascii="宋体" w:hAnsi="宋体" w:eastAsia="宋体"/>
          <w:color w:val="auto"/>
          <w:sz w:val="21"/>
          <w:szCs w:val="21"/>
          <w:highlight w:val="none"/>
          <w:shd w:val="clear" w:color="auto" w:fill="auto"/>
        </w:rPr>
        <w:tab/>
      </w:r>
      <w:r>
        <w:rPr>
          <w:rFonts w:hint="eastAsia" w:ascii="宋体" w:hAnsi="宋体" w:eastAsia="宋体"/>
          <w:color w:val="auto"/>
          <w:sz w:val="21"/>
          <w:szCs w:val="21"/>
          <w:highlight w:val="none"/>
          <w:shd w:val="clear" w:color="auto" w:fill="auto"/>
        </w:rPr>
        <w:t xml:space="preserve">日</w:t>
      </w:r>
      <w:r/>
    </w:p>
    <w:p>
      <w:pPr>
        <w:pStyle w:val="963"/>
        <w:ind w:firstLine="0"/>
        <w:jc w:val="both"/>
        <w:rPr>
          <w:rFonts w:hint="eastAsia" w:ascii="宋体" w:hAnsi="宋体" w:eastAsia="宋体"/>
          <w:b/>
          <w:color w:val="auto"/>
          <w:sz w:val="21"/>
          <w:szCs w:val="21"/>
          <w:highlight w:val="none"/>
          <w:shd w:val="clear" w:color="auto" w:fill="auto"/>
        </w:rPr>
      </w:pPr>
      <w:r>
        <w:rPr>
          <w:rFonts w:hint="eastAsia" w:ascii="宋体" w:hAnsi="宋体" w:eastAsia="宋体"/>
          <w:b/>
          <w:color w:val="auto"/>
          <w:sz w:val="21"/>
          <w:szCs w:val="21"/>
          <w:highlight w:val="none"/>
          <w:shd w:val="clear" w:color="auto" w:fill="auto"/>
        </w:rPr>
      </w:r>
      <w:r/>
    </w:p>
    <w:p>
      <w:pPr>
        <w:pStyle w:val="963"/>
        <w:ind w:firstLine="0"/>
        <w:jc w:val="both"/>
        <w:rPr>
          <w:rFonts w:hint="eastAsia" w:ascii="宋体" w:hAnsi="宋体" w:eastAsia="宋体"/>
          <w:b/>
          <w:color w:val="auto"/>
          <w:sz w:val="21"/>
          <w:szCs w:val="21"/>
          <w:highlight w:val="none"/>
          <w:shd w:val="clear" w:color="auto" w:fill="auto"/>
        </w:rPr>
      </w:pPr>
      <w:r>
        <w:rPr>
          <w:rFonts w:hint="eastAsia" w:ascii="宋体" w:hAnsi="宋体" w:eastAsia="宋体"/>
          <w:b/>
          <w:color w:val="auto"/>
          <w:sz w:val="21"/>
          <w:szCs w:val="21"/>
          <w:highlight w:val="none"/>
          <w:shd w:val="clear" w:color="auto" w:fill="auto"/>
        </w:rPr>
        <w:br w:type="page" w:clear="all"/>
      </w:r>
      <w:r>
        <w:rPr>
          <w:rFonts w:hint="eastAsia" w:ascii="宋体" w:hAnsi="宋体" w:eastAsia="宋体"/>
          <w:b/>
          <w:color w:val="auto"/>
          <w:sz w:val="21"/>
          <w:szCs w:val="21"/>
          <w:highlight w:val="none"/>
          <w:shd w:val="clear" w:color="auto" w:fill="auto"/>
        </w:rPr>
        <w:t xml:space="preserve">(2)供应商情况表</w:t>
      </w:r>
      <w:r/>
    </w:p>
    <w:p>
      <w:pPr>
        <w:pStyle w:val="963"/>
        <w:ind w:firstLine="0"/>
        <w:jc w:val="center"/>
        <w:rPr>
          <w:rFonts w:hint="eastAsia" w:ascii="宋体" w:hAnsi="宋体" w:eastAsia="宋体"/>
          <w:b/>
          <w:bCs/>
          <w:color w:val="auto"/>
          <w:sz w:val="21"/>
          <w:szCs w:val="21"/>
          <w:highlight w:val="none"/>
          <w:shd w:val="clear" w:color="auto" w:fill="auto"/>
        </w:rPr>
      </w:pPr>
      <w:r>
        <w:rPr>
          <w:rFonts w:hint="eastAsia" w:ascii="宋体" w:hAnsi="宋体" w:eastAsia="宋体"/>
          <w:b/>
          <w:bCs/>
          <w:color w:val="auto"/>
          <w:sz w:val="21"/>
          <w:szCs w:val="21"/>
          <w:highlight w:val="none"/>
          <w:shd w:val="clear" w:color="auto" w:fill="auto"/>
        </w:rPr>
        <w:t xml:space="preserve">供应商情况表</w:t>
      </w:r>
      <w:r/>
    </w:p>
    <w:p>
      <w:pPr>
        <w:pStyle w:val="963"/>
        <w:jc w:val="both"/>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p>
      <w:pPr>
        <w:pStyle w:val="963"/>
        <w:jc w:val="both"/>
        <w:rPr>
          <w:rFonts w:hint="eastAsia" w:ascii="宋体" w:hAnsi="宋体" w:eastAsia="宋体"/>
          <w:b/>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单位名称（盖章）</w:t>
      </w:r>
      <w:r/>
    </w:p>
    <w:tbl>
      <w:tblPr>
        <w:tblStyle w:val="955"/>
        <w:tblW w:w="907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567"/>
        </w:trPr>
        <w:tc>
          <w:tcPr>
            <w:tcW w:w="2552" w:type="dxa"/>
            <w:vAlign w:val="center"/>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法定代表人</w:t>
            </w:r>
            <w:r/>
          </w:p>
        </w:tc>
        <w:tc>
          <w:tcPr>
            <w:tcW w:w="2268" w:type="dxa"/>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1559" w:type="dxa"/>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成立日期</w:t>
            </w:r>
            <w:r/>
          </w:p>
        </w:tc>
        <w:tc>
          <w:tcPr>
            <w:tcW w:w="2694" w:type="dxa"/>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注册地址</w:t>
            </w:r>
            <w:r/>
          </w:p>
        </w:tc>
        <w:tc>
          <w:tcPr>
            <w:tcW w:w="2268" w:type="dxa"/>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1559" w:type="dxa"/>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注册资金</w:t>
            </w:r>
            <w:r/>
          </w:p>
        </w:tc>
        <w:tc>
          <w:tcPr>
            <w:tcW w:w="2694" w:type="dxa"/>
            <w:textDirection w:val="lrTb"/>
            <w:noWrap w:val="false"/>
          </w:tcPr>
          <w:p>
            <w:pPr>
              <w:pStyle w:val="963"/>
              <w:ind w:firstLine="216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经营范围</w:t>
            </w:r>
            <w:r/>
          </w:p>
        </w:tc>
        <w:tc>
          <w:tcPr>
            <w:gridSpan w:val="3"/>
            <w:tcW w:w="6521" w:type="dxa"/>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企业资质等级</w:t>
            </w:r>
            <w:r/>
          </w:p>
        </w:tc>
        <w:tc>
          <w:tcPr>
            <w:tcW w:w="2268" w:type="dxa"/>
            <w:vAlign w:val="bottom"/>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1559" w:type="dxa"/>
            <w:vAlign w:val="center"/>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员工总人数</w:t>
            </w:r>
            <w:r/>
          </w:p>
        </w:tc>
        <w:tc>
          <w:tcPr>
            <w:tcW w:w="2694" w:type="dxa"/>
            <w:vAlign w:val="bottom"/>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资产总计</w:t>
            </w:r>
            <w:r/>
          </w:p>
        </w:tc>
        <w:tc>
          <w:tcPr>
            <w:tcW w:w="2268" w:type="dxa"/>
            <w:vAlign w:val="bottom"/>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万元</w:t>
            </w:r>
            <w:r/>
          </w:p>
        </w:tc>
        <w:tc>
          <w:tcPr>
            <w:tcW w:w="1559" w:type="dxa"/>
            <w:vAlign w:val="center"/>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营业收入</w:t>
            </w:r>
            <w:r/>
          </w:p>
        </w:tc>
        <w:tc>
          <w:tcPr>
            <w:tcW w:w="2694" w:type="dxa"/>
            <w:vAlign w:val="bottom"/>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年</w:t>
            </w:r>
            <w:r>
              <w:rPr>
                <w:rFonts w:ascii="宋体" w:hAnsi="宋体" w:eastAsia="宋体"/>
                <w:color w:val="auto"/>
                <w:sz w:val="21"/>
                <w:szCs w:val="21"/>
                <w:highlight w:val="non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shd w:val="clear" w:color="auto" w:fill="auto"/>
              </w:rPr>
              <w:t xml:space="preserve">万元</w:t>
            </w:r>
            <w:r/>
          </w:p>
        </w:tc>
      </w:tr>
      <w:tr>
        <w:trPr>
          <w:cantSplit/>
          <w:jc w:val="center"/>
          <w:trHeight w:val="567"/>
        </w:trPr>
        <w:tc>
          <w:tcPr>
            <w:tcW w:w="2552" w:type="dxa"/>
            <w:vAlign w:val="center"/>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实现利润</w:t>
            </w:r>
            <w:r/>
          </w:p>
        </w:tc>
        <w:tc>
          <w:tcPr>
            <w:tcW w:w="2268" w:type="dxa"/>
            <w:vAlign w:val="bottom"/>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年</w:t>
            </w:r>
            <w:r>
              <w:rPr>
                <w:rFonts w:hint="eastAsia" w:ascii="宋体" w:hAnsi="宋体" w:eastAsia="宋体"/>
                <w:color w:val="auto"/>
                <w:sz w:val="21"/>
                <w:szCs w:val="21"/>
                <w:highlight w:val="none"/>
                <w:u w:val="singl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shd w:val="clear" w:color="auto" w:fill="auto"/>
              </w:rPr>
              <w:t xml:space="preserve">万元</w:t>
            </w:r>
            <w:r/>
          </w:p>
        </w:tc>
        <w:tc>
          <w:tcPr>
            <w:tcW w:w="1559" w:type="dxa"/>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营业面积（含厂房面积）</w:t>
            </w:r>
            <w:r/>
          </w:p>
        </w:tc>
        <w:tc>
          <w:tcPr>
            <w:tcW w:w="2694" w:type="dxa"/>
            <w:vAlign w:val="bottom"/>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平方米</w:t>
            </w:r>
            <w:r/>
          </w:p>
        </w:tc>
      </w:tr>
      <w:tr>
        <w:trPr>
          <w:cantSplit/>
          <w:jc w:val="center"/>
          <w:trHeight w:val="567"/>
        </w:trPr>
        <w:tc>
          <w:tcPr>
            <w:tcW w:w="2552" w:type="dxa"/>
            <w:vAlign w:val="center"/>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单位简历及内设机构情况</w:t>
            </w:r>
            <w:r/>
          </w:p>
        </w:tc>
        <w:tc>
          <w:tcPr>
            <w:gridSpan w:val="3"/>
            <w:tcW w:w="6521" w:type="dxa"/>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单位优势及特长</w:t>
            </w:r>
            <w:r/>
          </w:p>
        </w:tc>
        <w:tc>
          <w:tcPr>
            <w:gridSpan w:val="3"/>
            <w:tcW w:w="6521" w:type="dxa"/>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商业信誉和健全的财务会计制度介绍</w:t>
            </w:r>
            <w:r/>
          </w:p>
        </w:tc>
        <w:tc>
          <w:tcPr>
            <w:gridSpan w:val="3"/>
            <w:tcW w:w="6521" w:type="dxa"/>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履行合同所必需的设备和专业技术能力情况</w:t>
            </w:r>
            <w:r/>
          </w:p>
        </w:tc>
        <w:tc>
          <w:tcPr>
            <w:gridSpan w:val="3"/>
            <w:tcW w:w="6521" w:type="dxa"/>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依法缴纳税收和社会保障资金情况</w:t>
            </w:r>
            <w:r/>
          </w:p>
        </w:tc>
        <w:tc>
          <w:tcPr>
            <w:gridSpan w:val="3"/>
            <w:tcW w:w="6521" w:type="dxa"/>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ascii="宋体" w:hAnsi="宋体" w:eastAsia="宋体"/>
                <w:color w:val="auto"/>
                <w:sz w:val="21"/>
                <w:szCs w:val="21"/>
                <w:highlight w:val="none"/>
                <w:shd w:val="clear" w:color="auto" w:fill="auto"/>
              </w:rPr>
              <w:t xml:space="preserve">参加政府采购活动前三年内，在经营活动中</w:t>
            </w:r>
            <w:r>
              <w:rPr>
                <w:rFonts w:hint="eastAsia" w:ascii="宋体" w:hAnsi="宋体" w:eastAsia="宋体"/>
                <w:color w:val="auto"/>
                <w:sz w:val="21"/>
                <w:szCs w:val="21"/>
                <w:highlight w:val="none"/>
                <w:shd w:val="clear" w:color="auto" w:fill="auto"/>
              </w:rPr>
              <w:t xml:space="preserve">有无</w:t>
            </w:r>
            <w:r>
              <w:rPr>
                <w:rFonts w:ascii="宋体" w:hAnsi="宋体" w:eastAsia="宋体"/>
                <w:color w:val="auto"/>
                <w:sz w:val="21"/>
                <w:szCs w:val="21"/>
                <w:highlight w:val="none"/>
                <w:shd w:val="clear" w:color="auto" w:fill="auto"/>
              </w:rPr>
              <w:t xml:space="preserve">重大违法记录</w:t>
            </w:r>
            <w:r/>
          </w:p>
        </w:tc>
        <w:tc>
          <w:tcPr>
            <w:gridSpan w:val="3"/>
            <w:tcW w:w="6521" w:type="dxa"/>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其他需要说明的情况</w:t>
            </w:r>
            <w:r/>
          </w:p>
        </w:tc>
        <w:tc>
          <w:tcPr>
            <w:gridSpan w:val="3"/>
            <w:tcW w:w="6521" w:type="dxa"/>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552" w:type="dxa"/>
            <w:vAlign w:val="center"/>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单位开票资料及</w:t>
            </w:r>
            <w:r/>
          </w:p>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数字人民币账户</w:t>
            </w:r>
            <w:r/>
          </w:p>
        </w:tc>
        <w:tc>
          <w:tcPr>
            <w:gridSpan w:val="3"/>
            <w:tcW w:w="6521" w:type="dxa"/>
            <w:textDirection w:val="lrTb"/>
            <w:noWrap w:val="false"/>
          </w:tcPr>
          <w:p>
            <w:pPr>
              <w:pStyle w:val="963"/>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bl>
    <w:p>
      <w:pPr>
        <w:spacing w:before="100" w:beforeAutospacing="1" w:after="100" w:afterAutospacing="1" w:line="360" w:lineRule="auto"/>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rPr>
          <w:rFonts w:hint="eastAsia" w:ascii="宋体" w:hAnsi="宋体"/>
          <w:b/>
          <w:color w:val="auto"/>
          <w:szCs w:val="21"/>
          <w:highlight w:val="none"/>
          <w:shd w:val="clear" w:color="auto" w:fill="auto"/>
        </w:rPr>
      </w:pPr>
      <w:r>
        <w:rPr>
          <w:rFonts w:ascii="宋体" w:hAnsi="宋体"/>
          <w:color w:val="auto"/>
          <w:highlight w:val="none"/>
          <w:shd w:val="clear" w:color="auto" w:fill="auto"/>
        </w:rPr>
        <w:br w:type="page" w:clear="all"/>
      </w:r>
      <w:r>
        <w:rPr>
          <w:rFonts w:hint="eastAsia" w:ascii="宋体" w:hAnsi="宋体"/>
          <w:b/>
          <w:color w:val="auto"/>
          <w:szCs w:val="21"/>
          <w:highlight w:val="none"/>
          <w:shd w:val="clear" w:color="auto" w:fill="auto"/>
        </w:rPr>
        <w:t xml:space="preserve">（3）中小企业声明函</w:t>
      </w:r>
      <w:r/>
    </w:p>
    <w:p>
      <w:pPr>
        <w:jc w:val="center"/>
        <w:spacing w:before="100" w:beforeAutospacing="1" w:after="100" w:afterAutospacing="1" w:line="360" w:lineRule="auto"/>
        <w:rPr>
          <w:b/>
          <w:color w:val="auto"/>
          <w:highlight w:val="none"/>
          <w:shd w:val="clear" w:color="auto" w:fill="auto"/>
        </w:rPr>
      </w:pPr>
      <w:r>
        <w:rPr>
          <w:rFonts w:hint="eastAsia"/>
          <w:b/>
          <w:color w:val="auto"/>
          <w:highlight w:val="none"/>
          <w:shd w:val="clear" w:color="auto" w:fill="auto"/>
        </w:rPr>
        <w:t xml:space="preserve">中小企业声明函（服务类）</w:t>
      </w:r>
      <w:r/>
    </w:p>
    <w:p>
      <w:pPr>
        <w:ind w:firstLine="420"/>
        <w:spacing w:line="480" w:lineRule="auto"/>
        <w:rPr>
          <w:rFonts w:hint="eastAsia" w:ascii="宋体" w:hAnsi="宋体" w:cs="宋体"/>
          <w:bCs/>
          <w:color w:val="auto"/>
          <w:highlight w:val="none"/>
          <w:shd w:val="clear" w:color="auto" w:fill="auto"/>
        </w:rPr>
      </w:pPr>
      <w:r>
        <w:rPr>
          <w:rFonts w:hint="eastAsia" w:ascii="宋体" w:hAnsi="宋体" w:cs="宋体"/>
          <w:bCs/>
          <w:color w:val="auto"/>
          <w:highlight w:val="none"/>
          <w:shd w:val="clear" w:color="auto" w:fill="auto"/>
        </w:rPr>
        <w:t xml:space="preserve">本公司郑重声明，根据《政府采购促进中小企业发展管理办法》（财库﹝2020﹞46号）的规定，本公司参加</w:t>
      </w:r>
      <w:r>
        <w:rPr>
          <w:rFonts w:hint="eastAsia" w:ascii="宋体" w:hAnsi="宋体" w:cs="宋体"/>
          <w:bCs/>
          <w:color w:val="auto"/>
          <w:highlight w:val="none"/>
          <w:u w:val="single"/>
          <w:shd w:val="clear" w:color="auto" w:fill="auto"/>
        </w:rPr>
        <w:t xml:space="preserve">（单位名称）</w:t>
      </w:r>
      <w:r>
        <w:rPr>
          <w:rFonts w:hint="eastAsia" w:ascii="宋体" w:hAnsi="宋体" w:cs="宋体"/>
          <w:bCs/>
          <w:color w:val="auto"/>
          <w:highlight w:val="none"/>
          <w:shd w:val="clear" w:color="auto" w:fill="auto"/>
        </w:rPr>
        <w:t xml:space="preserve">的</w:t>
      </w:r>
      <w:r>
        <w:rPr>
          <w:rFonts w:hint="eastAsia" w:ascii="宋体" w:hAnsi="宋体" w:cs="宋体"/>
          <w:bCs/>
          <w:color w:val="auto"/>
          <w:highlight w:val="none"/>
          <w:u w:val="single"/>
          <w:shd w:val="clear" w:color="auto" w:fill="auto"/>
        </w:rPr>
        <w:t xml:space="preserve">（项目名称）</w:t>
      </w:r>
      <w:r>
        <w:rPr>
          <w:rFonts w:hint="eastAsia" w:ascii="宋体" w:hAnsi="宋体" w:cs="宋体"/>
          <w:bCs/>
          <w:color w:val="auto"/>
          <w:highlight w:val="none"/>
          <w:shd w:val="clear" w:color="auto" w:fill="auto"/>
        </w:rPr>
        <w:t xml:space="preserve">采购活动，服务全部由符合政策要求的中小企业承接。企业的具体情况如下： </w:t>
      </w:r>
      <w:r/>
    </w:p>
    <w:p>
      <w:pPr>
        <w:ind w:firstLine="420"/>
        <w:spacing w:line="480" w:lineRule="auto"/>
        <w:rPr>
          <w:bCs/>
          <w:color w:val="auto"/>
          <w:highlight w:val="none"/>
          <w:shd w:val="clear" w:color="auto" w:fill="auto"/>
        </w:rPr>
      </w:pPr>
      <w:r>
        <w:rPr>
          <w:rFonts w:hint="eastAsia"/>
          <w:bCs/>
          <w:color w:val="auto"/>
          <w:highlight w:val="none"/>
          <w:u w:val="single"/>
          <w:shd w:val="clear" w:color="auto" w:fill="auto"/>
        </w:rPr>
        <w:t xml:space="preserve">（标的名称）</w:t>
      </w:r>
      <w:r>
        <w:rPr>
          <w:rFonts w:hint="eastAsia"/>
          <w:bCs/>
          <w:color w:val="auto"/>
          <w:highlight w:val="none"/>
          <w:shd w:val="clear" w:color="auto" w:fill="auto"/>
        </w:rPr>
        <w:t xml:space="preserve">，属于</w:t>
      </w:r>
      <w:r>
        <w:rPr>
          <w:rFonts w:hint="eastAsia"/>
          <w:bCs/>
          <w:color w:val="auto"/>
          <w:highlight w:val="none"/>
          <w:u w:val="single"/>
          <w:shd w:val="clear" w:color="auto" w:fill="auto"/>
        </w:rPr>
        <w:t xml:space="preserve"> 其他未列明行业</w:t>
      </w:r>
      <w:r>
        <w:rPr>
          <w:rFonts w:hint="eastAsia"/>
          <w:bCs/>
          <w:color w:val="auto"/>
          <w:highlight w:val="none"/>
          <w:shd w:val="clear" w:color="auto" w:fill="auto"/>
        </w:rPr>
        <w:t xml:space="preserve">；承接企业为</w:t>
      </w:r>
      <w:r>
        <w:rPr>
          <w:rFonts w:hint="eastAsia"/>
          <w:bCs/>
          <w:color w:val="auto"/>
          <w:highlight w:val="none"/>
          <w:u w:val="single"/>
          <w:shd w:val="clear" w:color="auto" w:fill="auto"/>
        </w:rPr>
        <w:t xml:space="preserve">（企业名称）</w:t>
      </w:r>
      <w:r>
        <w:rPr>
          <w:rFonts w:hint="eastAsia"/>
          <w:bCs/>
          <w:color w:val="auto"/>
          <w:highlight w:val="none"/>
          <w:shd w:val="clear" w:color="auto" w:fill="auto"/>
        </w:rPr>
        <w:t xml:space="preserve">，从业人员</w:t>
      </w:r>
      <w:r>
        <w:rPr>
          <w:rFonts w:hint="eastAsia"/>
          <w:bCs/>
          <w:color w:val="auto"/>
          <w:highlight w:val="none"/>
          <w:u w:val="single"/>
          <w:shd w:val="clear" w:color="auto" w:fill="auto"/>
        </w:rPr>
        <w:t xml:space="preserve">   </w:t>
      </w:r>
      <w:r>
        <w:rPr>
          <w:rFonts w:hint="eastAsia"/>
          <w:bCs/>
          <w:color w:val="auto"/>
          <w:highlight w:val="none"/>
          <w:shd w:val="clear" w:color="auto" w:fill="auto"/>
        </w:rPr>
        <w:t xml:space="preserve">人，营业收入为</w:t>
      </w:r>
      <w:r>
        <w:rPr>
          <w:rFonts w:hint="eastAsia"/>
          <w:bCs/>
          <w:color w:val="auto"/>
          <w:highlight w:val="none"/>
          <w:u w:val="single"/>
          <w:shd w:val="clear" w:color="auto" w:fill="auto"/>
        </w:rPr>
        <w:t xml:space="preserve">   </w:t>
      </w:r>
      <w:r>
        <w:rPr>
          <w:rFonts w:hint="eastAsia"/>
          <w:bCs/>
          <w:color w:val="auto"/>
          <w:highlight w:val="none"/>
          <w:shd w:val="clear" w:color="auto" w:fill="auto"/>
        </w:rPr>
        <w:t xml:space="preserve">万元，资产总额为</w:t>
      </w:r>
      <w:r>
        <w:rPr>
          <w:rFonts w:hint="eastAsia"/>
          <w:bCs/>
          <w:color w:val="auto"/>
          <w:highlight w:val="none"/>
          <w:u w:val="single"/>
          <w:shd w:val="clear" w:color="auto" w:fill="auto"/>
        </w:rPr>
        <w:t xml:space="preserve">    </w:t>
      </w:r>
      <w:r>
        <w:rPr>
          <w:rFonts w:hint="eastAsia"/>
          <w:bCs/>
          <w:color w:val="auto"/>
          <w:highlight w:val="none"/>
          <w:shd w:val="clear" w:color="auto" w:fill="auto"/>
        </w:rPr>
        <w:t xml:space="preserve">万元，属于</w:t>
      </w:r>
      <w:r>
        <w:rPr>
          <w:rFonts w:hint="eastAsia"/>
          <w:bCs/>
          <w:color w:val="auto"/>
          <w:highlight w:val="none"/>
          <w:u w:val="single"/>
          <w:shd w:val="clear" w:color="auto" w:fill="auto"/>
        </w:rPr>
        <w:t xml:space="preserve">（中型企业、小型企业、微型企业，</w:t>
      </w:r>
      <w:r>
        <w:rPr>
          <w:rFonts w:hint="eastAsia"/>
          <w:b/>
          <w:color w:val="auto"/>
          <w:highlight w:val="none"/>
          <w:u w:val="single"/>
          <w:shd w:val="clear" w:color="auto" w:fill="auto"/>
        </w:rPr>
        <w:t xml:space="preserve">选择一类填写</w:t>
      </w:r>
      <w:r>
        <w:rPr>
          <w:rFonts w:hint="eastAsia"/>
          <w:bCs/>
          <w:color w:val="auto"/>
          <w:highlight w:val="none"/>
          <w:u w:val="single"/>
          <w:shd w:val="clear" w:color="auto" w:fill="auto"/>
        </w:rPr>
        <w:t xml:space="preserve">）</w:t>
      </w:r>
      <w:r>
        <w:rPr>
          <w:rFonts w:hint="eastAsia"/>
          <w:bCs/>
          <w:color w:val="auto"/>
          <w:highlight w:val="none"/>
          <w:shd w:val="clear" w:color="auto" w:fill="auto"/>
        </w:rPr>
        <w:t xml:space="preserve">； </w:t>
      </w:r>
      <w:r/>
    </w:p>
    <w:p>
      <w:pPr>
        <w:ind w:firstLine="420"/>
        <w:spacing w:line="480" w:lineRule="auto"/>
        <w:rPr>
          <w:bCs/>
          <w:color w:val="auto"/>
          <w:highlight w:val="none"/>
          <w:shd w:val="clear" w:color="auto" w:fill="auto"/>
        </w:rPr>
      </w:pPr>
      <w:r>
        <w:rPr>
          <w:rFonts w:hint="eastAsia"/>
          <w:bCs/>
          <w:color w:val="auto"/>
          <w:highlight w:val="none"/>
          <w:shd w:val="clear" w:color="auto" w:fill="auto"/>
        </w:rPr>
        <w:t xml:space="preserve">以上企业，不属于大企业的分支机构，不存在控股股东为大企业的情形，也不存在与大企业的负责人为同一人的情形。 本企业对上述声明内容的真实性负责。如有虚假，将依法承担相应责任。</w:t>
      </w:r>
      <w:r/>
    </w:p>
    <w:p>
      <w:pPr>
        <w:spacing w:line="480" w:lineRule="auto"/>
        <w:rPr>
          <w:bCs/>
          <w:color w:val="auto"/>
          <w:highlight w:val="none"/>
          <w:shd w:val="clear" w:color="auto" w:fill="auto"/>
        </w:rPr>
      </w:pPr>
      <w:r>
        <w:rPr>
          <w:rFonts w:hint="eastAsia"/>
          <w:bCs/>
          <w:color w:val="auto"/>
          <w:highlight w:val="none"/>
          <w:shd w:val="clear" w:color="auto" w:fill="auto"/>
        </w:rPr>
        <w:t xml:space="preserve">                                                          企业名称（盖章）： </w:t>
      </w:r>
      <w:r/>
    </w:p>
    <w:p>
      <w:pPr>
        <w:spacing w:line="480" w:lineRule="auto"/>
        <w:rPr>
          <w:bCs/>
          <w:color w:val="auto"/>
          <w:highlight w:val="none"/>
          <w:shd w:val="clear" w:color="auto" w:fill="auto"/>
        </w:rPr>
      </w:pPr>
      <w:r>
        <w:rPr>
          <w:rFonts w:hint="eastAsia"/>
          <w:bCs/>
          <w:color w:val="auto"/>
          <w:highlight w:val="none"/>
          <w:shd w:val="clear" w:color="auto" w:fill="auto"/>
        </w:rPr>
        <w:t xml:space="preserve">                                                            日 期：</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spacing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（4）残疾人福利性单位声明函</w:t>
      </w:r>
      <w:r/>
    </w:p>
    <w:p>
      <w:pPr>
        <w:jc w:val="center"/>
        <w:spacing w:line="480" w:lineRule="exact"/>
        <w:rPr>
          <w:rFonts w:hint="eastAsia" w:ascii="宋体" w:hAnsi="宋体"/>
          <w:color w:val="auto"/>
          <w:spacing w:val="6"/>
          <w:sz w:val="44"/>
          <w:szCs w:val="32"/>
          <w:highlight w:val="none"/>
          <w:shd w:val="clear" w:color="auto" w:fill="auto"/>
        </w:rPr>
      </w:pPr>
      <w:r>
        <w:rPr>
          <w:rFonts w:hint="eastAsia" w:ascii="宋体" w:hAnsi="宋体"/>
          <w:color w:val="auto"/>
          <w:szCs w:val="21"/>
          <w:highlight w:val="none"/>
          <w:shd w:val="clear" w:color="auto" w:fill="auto"/>
          <w:lang w:val="zh-CN"/>
        </w:rPr>
        <w:t xml:space="preserve">残疾人福利性单位声明函</w:t>
      </w:r>
      <w:r/>
    </w:p>
    <w:p>
      <w:pPr>
        <w:spacing w:line="580" w:lineRule="exact"/>
        <w:rPr>
          <w:rFonts w:hint="eastAsia" w:ascii="宋体" w:hAnsi="宋体"/>
          <w:b/>
          <w:color w:val="auto"/>
          <w:spacing w:val="6"/>
          <w:szCs w:val="32"/>
          <w:highlight w:val="none"/>
          <w:shd w:val="clear" w:color="auto" w:fill="auto"/>
        </w:rPr>
      </w:pPr>
      <w:r>
        <w:rPr>
          <w:rFonts w:hint="eastAsia" w:ascii="宋体" w:hAnsi="宋体"/>
          <w:b/>
          <w:color w:val="auto"/>
          <w:spacing w:val="6"/>
          <w:szCs w:val="32"/>
          <w:highlight w:val="none"/>
          <w:shd w:val="clear" w:color="auto" w:fill="auto"/>
        </w:rPr>
      </w:r>
      <w:r/>
    </w:p>
    <w:p>
      <w:pPr>
        <w:ind w:firstLine="444"/>
        <w:spacing w:line="580" w:lineRule="exact"/>
        <w:rPr>
          <w:rFonts w:hint="eastAsia" w:ascii="宋体" w:hAnsi="宋体"/>
          <w:color w:val="auto"/>
          <w:spacing w:val="6"/>
          <w:szCs w:val="21"/>
          <w:highlight w:val="none"/>
          <w:shd w:val="clear" w:color="auto" w:fill="auto"/>
        </w:rPr>
      </w:pPr>
      <w:r>
        <w:rPr>
          <w:rFonts w:hint="eastAsia" w:ascii="宋体" w:hAnsi="宋体"/>
          <w:color w:val="auto"/>
          <w:spacing w:val="6"/>
          <w:szCs w:val="21"/>
          <w:highlight w:val="none"/>
          <w:shd w:val="clear" w:color="auto" w:fill="auto"/>
        </w:rPr>
        <w:t xml:space="preserve">本单位郑重声明，根据《财政部  民政部  中国残疾人联合会关于促进残疾人就业政府采购政策的通知》（财库</w:t>
      </w:r>
      <w:r>
        <w:rPr>
          <w:rFonts w:hint="eastAsia" w:ascii="宋体" w:hAnsi="宋体"/>
          <w:color w:val="auto"/>
          <w:szCs w:val="21"/>
          <w:highlight w:val="none"/>
          <w:shd w:val="clear" w:color="auto" w:fill="auto"/>
        </w:rPr>
        <w:t xml:space="preserve">〔2017〕141</w:t>
      </w:r>
      <w:r>
        <w:rPr>
          <w:rFonts w:hint="eastAsia" w:ascii="宋体" w:hAnsi="宋体"/>
          <w:color w:val="auto"/>
          <w:spacing w:val="6"/>
          <w:szCs w:val="21"/>
          <w:highlight w:val="none"/>
          <w:shd w:val="clear" w:color="auto" w:fill="auto"/>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olor w:val="auto"/>
          <w:spacing w:val="6"/>
          <w:szCs w:val="21"/>
          <w:highlight w:val="none"/>
          <w:shd w:val="clear" w:color="auto" w:fill="auto"/>
        </w:rPr>
      </w:pPr>
      <w:r>
        <w:rPr>
          <w:rFonts w:hint="eastAsia" w:ascii="宋体" w:hAnsi="宋体"/>
          <w:color w:val="auto"/>
          <w:spacing w:val="6"/>
          <w:szCs w:val="21"/>
          <w:highlight w:val="none"/>
          <w:shd w:val="clear" w:color="auto" w:fill="auto"/>
        </w:rPr>
        <w:t xml:space="preserve">本单位对上述声明的真实性负责。如有虚假，将依法承担相应责任。</w:t>
      </w:r>
      <w:r/>
    </w:p>
    <w:p>
      <w:pPr>
        <w:ind w:firstLine="444"/>
        <w:spacing w:line="580" w:lineRule="exact"/>
        <w:rPr>
          <w:rFonts w:hint="eastAsia" w:ascii="宋体" w:hAnsi="宋体"/>
          <w:color w:val="auto"/>
          <w:spacing w:val="6"/>
          <w:szCs w:val="21"/>
          <w:highlight w:val="none"/>
          <w:shd w:val="clear" w:color="auto" w:fill="auto"/>
        </w:rPr>
      </w:pPr>
      <w:r>
        <w:rPr>
          <w:rFonts w:hint="eastAsia" w:ascii="宋体" w:hAnsi="宋体"/>
          <w:color w:val="auto"/>
          <w:spacing w:val="6"/>
          <w:szCs w:val="21"/>
          <w:highlight w:val="none"/>
          <w:shd w:val="clear" w:color="auto" w:fill="auto"/>
        </w:rPr>
      </w:r>
      <w:r/>
    </w:p>
    <w:p>
      <w:pPr>
        <w:ind w:right="1560" w:firstLine="444"/>
        <w:jc w:val="center"/>
        <w:spacing w:line="580" w:lineRule="exact"/>
        <w:tabs>
          <w:tab w:val="left" w:pos="4860" w:leader="none"/>
        </w:tabs>
        <w:rPr>
          <w:rFonts w:hint="eastAsia" w:ascii="宋体" w:hAnsi="宋体"/>
          <w:color w:val="auto"/>
          <w:spacing w:val="6"/>
          <w:szCs w:val="21"/>
          <w:highlight w:val="none"/>
          <w:shd w:val="clear" w:color="auto" w:fill="auto"/>
        </w:rPr>
      </w:pPr>
      <w:r>
        <w:rPr>
          <w:rFonts w:hint="eastAsia" w:ascii="宋体" w:hAnsi="宋体"/>
          <w:color w:val="auto"/>
          <w:spacing w:val="6"/>
          <w:szCs w:val="21"/>
          <w:highlight w:val="none"/>
          <w:shd w:val="clear" w:color="auto" w:fill="auto"/>
        </w:rPr>
        <w:t xml:space="preserve">                单位名称（盖章）：</w:t>
      </w:r>
      <w:r/>
    </w:p>
    <w:p>
      <w:pPr>
        <w:spacing w:line="360" w:lineRule="auto"/>
        <w:rPr>
          <w:rFonts w:hint="eastAsia" w:ascii="宋体" w:hAnsi="宋体"/>
          <w:color w:val="auto"/>
          <w:spacing w:val="6"/>
          <w:szCs w:val="21"/>
          <w:highlight w:val="none"/>
          <w:shd w:val="clear" w:color="auto" w:fill="auto"/>
        </w:rPr>
      </w:pPr>
      <w:r>
        <w:rPr>
          <w:rFonts w:hint="eastAsia" w:ascii="宋体" w:hAnsi="宋体"/>
          <w:color w:val="auto"/>
          <w:spacing w:val="6"/>
          <w:szCs w:val="21"/>
          <w:highlight w:val="none"/>
          <w:shd w:val="clear" w:color="auto" w:fill="auto"/>
        </w:rPr>
        <w:t xml:space="preserve">                                      日  期：</w:t>
      </w:r>
      <w:r/>
    </w:p>
    <w:p>
      <w:pPr>
        <w:spacing w:line="360" w:lineRule="auto"/>
        <w:rPr>
          <w:b/>
          <w:bCs/>
          <w:color w:val="auto"/>
          <w:szCs w:val="21"/>
          <w:highlight w:val="none"/>
          <w:shd w:val="clear" w:color="auto" w:fill="auto"/>
        </w:rPr>
      </w:pPr>
      <w:r>
        <w:rPr>
          <w:rFonts w:ascii="宋体" w:hAnsi="宋体"/>
          <w:color w:val="auto"/>
          <w:spacing w:val="6"/>
          <w:szCs w:val="21"/>
          <w:highlight w:val="none"/>
          <w:shd w:val="clear" w:color="auto" w:fill="auto"/>
        </w:rPr>
        <w:br w:type="page" w:clear="all"/>
      </w:r>
      <w:r>
        <w:rPr>
          <w:rFonts w:ascii="宋体" w:hAnsi="宋体"/>
          <w:b/>
          <w:color w:val="auto"/>
          <w:spacing w:val="6"/>
          <w:szCs w:val="21"/>
          <w:highlight w:val="none"/>
          <w:shd w:val="clear" w:color="auto" w:fill="auto"/>
        </w:rPr>
        <w:t xml:space="preserve">附件</w:t>
      </w:r>
      <w:r>
        <w:rPr>
          <w:rFonts w:hint="eastAsia" w:ascii="宋体" w:hAnsi="宋体"/>
          <w:b/>
          <w:color w:val="auto"/>
          <w:spacing w:val="6"/>
          <w:szCs w:val="21"/>
          <w:highlight w:val="none"/>
          <w:shd w:val="clear" w:color="auto" w:fill="auto"/>
        </w:rPr>
        <w:t xml:space="preserve">9、</w:t>
      </w:r>
      <w:r>
        <w:rPr>
          <w:rFonts w:hint="eastAsia"/>
          <w:b/>
          <w:bCs/>
          <w:color w:val="auto"/>
          <w:szCs w:val="21"/>
          <w:highlight w:val="none"/>
          <w:shd w:val="clear" w:color="auto" w:fill="auto"/>
        </w:rPr>
        <w:t xml:space="preserve">投标（响应）保证承诺书</w:t>
      </w:r>
      <w:r/>
    </w:p>
    <w:p>
      <w:pPr>
        <w:jc w:val="center"/>
        <w:spacing w:line="400" w:lineRule="exact"/>
        <w:rPr>
          <w:b/>
          <w:color w:val="auto"/>
          <w:szCs w:val="21"/>
          <w:highlight w:val="none"/>
          <w:shd w:val="clear" w:color="auto" w:fill="auto"/>
        </w:rPr>
      </w:pPr>
      <w:r>
        <w:rPr>
          <w:rFonts w:hint="eastAsia"/>
          <w:b/>
          <w:color w:val="auto"/>
          <w:szCs w:val="21"/>
          <w:highlight w:val="none"/>
          <w:shd w:val="clear" w:color="auto" w:fill="auto"/>
        </w:rPr>
        <w:t xml:space="preserve">投标（响应）保证承诺书</w:t>
      </w:r>
      <w:r/>
    </w:p>
    <w:p>
      <w:pPr>
        <w:jc w:val="left"/>
        <w:spacing w:line="360" w:lineRule="auto"/>
        <w:widowControl/>
        <w:rPr>
          <w:rFonts w:cs="宋体"/>
          <w:color w:val="auto"/>
          <w:szCs w:val="21"/>
          <w:highlight w:val="none"/>
          <w:shd w:val="clear" w:color="auto" w:fill="auto"/>
        </w:rPr>
      </w:pPr>
      <w:r>
        <w:rPr>
          <w:rFonts w:cs="宋体"/>
          <w:color w:val="auto"/>
          <w:szCs w:val="21"/>
          <w:highlight w:val="none"/>
          <w:shd w:val="clear" w:color="auto" w:fill="auto"/>
        </w:rPr>
      </w:r>
      <w:r/>
    </w:p>
    <w:p>
      <w:pPr>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致：</w:t>
      </w:r>
      <w:r>
        <w:rPr>
          <w:rFonts w:hint="eastAsia" w:cs="宋体"/>
          <w:color w:val="auto"/>
          <w:szCs w:val="21"/>
          <w:highlight w:val="none"/>
          <w:u w:val="single"/>
          <w:shd w:val="clear" w:color="auto" w:fill="auto"/>
        </w:rPr>
        <w:t xml:space="preserve">         （采购代理机构名称）</w:t>
      </w:r>
      <w:r/>
    </w:p>
    <w:p>
      <w:pPr>
        <w:ind w:firstLine="420"/>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我（单位/本人，以下统称我单位）自愿参加</w:t>
      </w:r>
      <w:r>
        <w:rPr>
          <w:rFonts w:hint="eastAsia" w:ascii="宋体" w:hAnsi="宋体" w:cs="宋体"/>
          <w:color w:val="auto"/>
          <w:szCs w:val="21"/>
          <w:highlight w:val="none"/>
          <w:u w:val="single"/>
          <w:shd w:val="clear" w:color="auto" w:fill="auto"/>
        </w:rPr>
        <w:t xml:space="preserve">              （项目名称和采购编号）</w:t>
      </w:r>
      <w:r>
        <w:rPr>
          <w:rFonts w:hint="eastAsia" w:ascii="宋体" w:hAnsi="宋体" w:cs="宋体"/>
          <w:color w:val="auto"/>
          <w:szCs w:val="21"/>
          <w:highlight w:val="none"/>
          <w:shd w:val="clear" w:color="auto" w:fill="auto"/>
        </w:rPr>
        <w:t xml:space="preserve">的投标（响应）,并做出如下承诺：</w:t>
      </w:r>
      <w:r/>
    </w:p>
    <w:p>
      <w:pPr>
        <w:numPr>
          <w:ilvl w:val="0"/>
          <w:numId w:val="56"/>
        </w:numPr>
        <w:ind w:left="431" w:hanging="431"/>
        <w:jc w:val="left"/>
        <w:spacing w:line="520" w:lineRule="exact"/>
        <w:widowControl/>
        <w:tabs>
          <w:tab w:val="left" w:pos="426"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除不可抗力外，我单位如果发生以下行为，将在行为发生的10个工作日内，向贵方</w:t>
      </w:r>
      <w:r>
        <w:rPr>
          <w:rFonts w:hint="eastAsia" w:ascii="宋体" w:hAnsi="宋体" w:cs="宋体"/>
          <w:color w:val="auto"/>
          <w:szCs w:val="21"/>
          <w:highlight w:val="none"/>
          <w:u w:val="single"/>
          <w:shd w:val="clear" w:color="auto" w:fill="auto"/>
        </w:rPr>
        <w:t xml:space="preserve">（或采购人）</w:t>
      </w:r>
      <w:r>
        <w:rPr>
          <w:rFonts w:hint="eastAsia" w:ascii="宋体" w:hAnsi="宋体" w:cs="宋体"/>
          <w:color w:val="auto"/>
          <w:szCs w:val="21"/>
          <w:highlight w:val="none"/>
          <w:shd w:val="clear" w:color="auto" w:fill="auto"/>
        </w:rPr>
        <w:t xml:space="preserve">支付本采购文件公布的预算金额（或最高限价）的2%作为违约赔偿金（数量不确定的单价采购须约定具体金额）。</w:t>
      </w:r>
      <w:r/>
    </w:p>
    <w:p>
      <w:pPr>
        <w:numPr>
          <w:ilvl w:val="0"/>
          <w:numId w:val="57"/>
        </w:numPr>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自投标（响应）截止时间至本项目发布中标（成交）公告为止，撤销投标（响应）；</w:t>
      </w:r>
      <w:r/>
    </w:p>
    <w:p>
      <w:pPr>
        <w:numPr>
          <w:ilvl w:val="0"/>
          <w:numId w:val="57"/>
        </w:numPr>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中标（成交）后不依法与采购人签订合同；</w:t>
      </w:r>
      <w:r/>
    </w:p>
    <w:p>
      <w:pPr>
        <w:numPr>
          <w:ilvl w:val="0"/>
          <w:numId w:val="57"/>
        </w:numPr>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中标（成交）后不按本采购文件规定向采购人提交履约保证金；</w:t>
      </w:r>
      <w:r/>
    </w:p>
    <w:p>
      <w:pPr>
        <w:numPr>
          <w:ilvl w:val="0"/>
          <w:numId w:val="57"/>
        </w:numPr>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中标（成交）后不按本采购文件规定向贵方缴纳采购代理费。</w:t>
      </w:r>
      <w:r/>
    </w:p>
    <w:p>
      <w:pPr>
        <w:numPr>
          <w:ilvl w:val="0"/>
          <w:numId w:val="56"/>
        </w:numPr>
        <w:ind w:left="431" w:hanging="431"/>
        <w:jc w:val="left"/>
        <w:spacing w:line="520" w:lineRule="exact"/>
        <w:widowControl/>
        <w:tabs>
          <w:tab w:val="left" w:pos="426"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我单位知晓上述行为的法律后果，承认本承诺书作为贵方（或采购人）要求我单位履行违约赔偿义务的依据作用。</w:t>
      </w:r>
      <w:r/>
    </w:p>
    <w:p>
      <w:pPr>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w:t>
      </w:r>
      <w:r/>
    </w:p>
    <w:p>
      <w:pPr>
        <w:ind w:firstLine="424"/>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投标（响应）人：（盖公章）</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地址：</w:t>
      </w:r>
      <w:r>
        <w:rPr>
          <w:rFonts w:hint="eastAsia" w:cs="宋体"/>
          <w:color w:val="auto"/>
          <w:szCs w:val="21"/>
          <w:highlight w:val="none"/>
          <w:u w:val="single"/>
          <w:shd w:val="clear" w:color="auto" w:fill="auto"/>
        </w:rPr>
        <w:t xml:space="preserve">                                   </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电话：</w:t>
      </w:r>
      <w:r>
        <w:rPr>
          <w:rFonts w:hint="eastAsia" w:cs="宋体"/>
          <w:color w:val="auto"/>
          <w:szCs w:val="21"/>
          <w:highlight w:val="none"/>
          <w:u w:val="single"/>
          <w:shd w:val="clear" w:color="auto" w:fill="auto"/>
        </w:rPr>
        <w:t xml:space="preserve">                          </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传真：</w:t>
      </w:r>
      <w:r>
        <w:rPr>
          <w:rFonts w:hint="eastAsia" w:cs="宋体"/>
          <w:color w:val="auto"/>
          <w:szCs w:val="21"/>
          <w:highlight w:val="none"/>
          <w:u w:val="single"/>
          <w:shd w:val="clear" w:color="auto" w:fill="auto"/>
        </w:rPr>
        <w:t xml:space="preserve">                          </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电子邮件：</w:t>
      </w:r>
      <w:r>
        <w:rPr>
          <w:rFonts w:hint="eastAsia" w:cs="宋体"/>
          <w:color w:val="auto"/>
          <w:szCs w:val="21"/>
          <w:highlight w:val="none"/>
          <w:u w:val="single"/>
          <w:shd w:val="clear" w:color="auto" w:fill="auto"/>
        </w:rPr>
        <w:t xml:space="preserve">                                     </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邮编：</w:t>
      </w:r>
      <w:r>
        <w:rPr>
          <w:rFonts w:hint="eastAsia" w:cs="宋体"/>
          <w:color w:val="auto"/>
          <w:szCs w:val="21"/>
          <w:highlight w:val="none"/>
          <w:u w:val="single"/>
          <w:shd w:val="clear" w:color="auto" w:fill="auto"/>
        </w:rPr>
        <w:t xml:space="preserve">                                      </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法定代表人或委托代理人(签字或签章)：</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日期：</w:t>
      </w:r>
      <w:r/>
    </w:p>
    <w:p>
      <w:pPr>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br w:type="page" w:clear="all"/>
      </w:r>
      <w:r/>
    </w:p>
    <w:p>
      <w:pPr>
        <w:spacing w:line="360" w:lineRule="auto"/>
        <w:widowControl/>
        <w:rPr>
          <w:rFonts w:hint="eastAsia" w:ascii="宋体" w:hAnsi="宋体"/>
          <w:b/>
          <w:color w:val="auto"/>
          <w:szCs w:val="21"/>
          <w:highlight w:val="none"/>
          <w:shd w:val="clear" w:color="auto" w:fill="auto"/>
        </w:rPr>
      </w:pPr>
      <w:r>
        <w:rPr>
          <w:rFonts w:ascii="宋体" w:hAnsi="宋体"/>
          <w:b/>
          <w:color w:val="auto"/>
          <w:spacing w:val="6"/>
          <w:szCs w:val="21"/>
          <w:highlight w:val="none"/>
          <w:shd w:val="clear" w:color="auto" w:fill="auto"/>
        </w:rPr>
        <w:t xml:space="preserve">附件</w:t>
      </w:r>
      <w:r>
        <w:rPr>
          <w:rFonts w:hint="eastAsia" w:ascii="宋体" w:hAnsi="宋体"/>
          <w:b/>
          <w:color w:val="auto"/>
          <w:spacing w:val="6"/>
          <w:szCs w:val="21"/>
          <w:highlight w:val="none"/>
          <w:shd w:val="clear" w:color="auto" w:fill="auto"/>
        </w:rPr>
        <w:t xml:space="preserve">10、</w:t>
      </w:r>
      <w:r/>
    </w:p>
    <w:p>
      <w:pPr>
        <w:jc w:val="center"/>
        <w:spacing w:line="360" w:lineRule="auto"/>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响应单位与其他单位存在控股、管理关系情况表</w:t>
      </w:r>
      <w:r/>
    </w:p>
    <w:tbl>
      <w:tblPr>
        <w:tblStyle w:val="955"/>
        <w:tblW w:w="104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3"/>
        <w:gridCol w:w="1704"/>
        <w:gridCol w:w="1506"/>
        <w:gridCol w:w="1580"/>
        <w:gridCol w:w="1084"/>
        <w:gridCol w:w="1711"/>
        <w:gridCol w:w="1268"/>
      </w:tblGrid>
      <w:tr>
        <w:trPr>
          <w:jc w:val="center"/>
          <w:trHeight w:val="567"/>
        </w:trPr>
        <w:tc>
          <w:tcPr>
            <w:gridSpan w:val="4"/>
            <w:tcW w:w="634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与响应单位存在直接股权关系</w:t>
            </w:r>
            <w:r/>
          </w:p>
        </w:tc>
        <w:tc>
          <w:tcPr>
            <w:gridSpan w:val="3"/>
            <w:tcW w:w="406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与响应单位存在直接管理关系</w:t>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单位名称</w:t>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是否为大型企业</w:t>
            </w:r>
            <w:r/>
          </w:p>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（填写“是”或 “否”）</w:t>
            </w:r>
            <w:r/>
          </w:p>
        </w:tc>
        <w:tc>
          <w:tcPr>
            <w:tcW w:w="1506" w:type="dxa"/>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是否直接控股</w:t>
            </w:r>
            <w:r/>
          </w:p>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（填写“是”或 “否”）</w:t>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直接控股关系情况说明（持股比例等）</w:t>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单位名称</w:t>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是否为大型企业</w:t>
            </w:r>
            <w:r/>
          </w:p>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（填写“是”或 “否”）</w:t>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直接管理关系情况说明</w:t>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bl>
    <w:p>
      <w:pPr>
        <w:ind w:firstLine="566"/>
        <w:spacing w:line="360" w:lineRule="auto"/>
        <w:rPr>
          <w:rFonts w:hint="eastAsia" w:ascii="宋体" w:hAnsi="宋体"/>
          <w:b/>
          <w:color w:val="auto"/>
          <w:szCs w:val="21"/>
          <w:highlight w:val="none"/>
          <w:shd w:val="clear" w:color="auto" w:fill="auto"/>
        </w:rPr>
        <w:outlineLvl w:val="1"/>
      </w:pPr>
      <w:r>
        <w:rPr>
          <w:rFonts w:hint="eastAsia" w:ascii="宋体" w:hAnsi="宋体"/>
          <w:b/>
          <w:color w:val="auto"/>
          <w:szCs w:val="21"/>
          <w:highlight w:val="none"/>
          <w:shd w:val="clear" w:color="auto" w:fill="auto"/>
        </w:rPr>
        <w:t xml:space="preserve">注：1、本表仅须填写与投标人存在直接股权、管理关系的企业情况。投标人应按上表要求据实填写，如填写“无”或不填写，均视为投标人声明不存在有关情形。</w:t>
      </w:r>
      <w:r/>
    </w:p>
    <w:p>
      <w:pPr>
        <w:ind w:firstLine="566"/>
        <w:spacing w:after="120"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2、其中“直接控股”是指投标人与大型企业之间存在直接投资并控股（非普通持股）的关系。</w:t>
      </w:r>
      <w:r/>
    </w:p>
    <w:p>
      <w:pPr>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p>
      <w:pPr>
        <w:pStyle w:val="963"/>
        <w:ind w:firstLine="0"/>
        <w:spacing w:line="400" w:lineRule="exact"/>
        <w:rPr>
          <w:rFonts w:hint="eastAsia" w:ascii="宋体"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供应商：（公章）</w:t>
      </w:r>
      <w:r/>
    </w:p>
    <w:p>
      <w:pPr>
        <w:pStyle w:val="963"/>
        <w:ind w:firstLine="0"/>
        <w:spacing w:line="400" w:lineRule="exact"/>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法定代表人或代理人（签字或盖章）</w:t>
      </w:r>
      <w:r>
        <w:rPr>
          <w:rFonts w:hint="eastAsia" w:ascii="宋体" w:hAnsi="宋体" w:eastAsia="宋体"/>
          <w:bCs/>
          <w:color w:val="auto"/>
          <w:sz w:val="21"/>
          <w:szCs w:val="21"/>
          <w:highlight w:val="none"/>
          <w:shd w:val="clear" w:color="auto" w:fill="auto"/>
        </w:rPr>
        <w:t xml:space="preserve">：</w:t>
      </w:r>
      <w:r/>
    </w:p>
    <w:p>
      <w:pPr>
        <w:pStyle w:val="963"/>
        <w:ind w:firstLine="0"/>
        <w:spacing w:line="400" w:lineRule="exact"/>
        <w:rPr>
          <w:rFonts w:hint="eastAsia" w:ascii="宋体" w:hAnsi="宋体" w:eastAsia="宋体"/>
          <w:b/>
          <w:color w:val="auto"/>
          <w:sz w:val="21"/>
          <w:szCs w:val="21"/>
          <w:highlight w:val="none"/>
          <w:shd w:val="clear" w:color="auto" w:fill="auto"/>
        </w:rPr>
      </w:pPr>
      <w:r>
        <w:rPr>
          <w:rFonts w:hint="eastAsia" w:ascii="宋体" w:hAnsi="宋体" w:eastAsia="宋体"/>
          <w:bCs/>
          <w:color w:val="auto"/>
          <w:sz w:val="21"/>
          <w:szCs w:val="21"/>
          <w:highlight w:val="none"/>
          <w:shd w:val="clear" w:color="auto" w:fill="auto"/>
        </w:rPr>
        <w:t xml:space="preserve">日期</w:t>
      </w:r>
      <w:r>
        <w:rPr>
          <w:rFonts w:ascii="宋体" w:hAnsi="宋体" w:eastAsia="宋体"/>
          <w:bCs/>
          <w:color w:val="auto"/>
          <w:sz w:val="21"/>
          <w:szCs w:val="21"/>
          <w:highlight w:val="none"/>
          <w:shd w:val="clear" w:color="auto" w:fill="auto"/>
        </w:rPr>
        <w:t xml:space="preserve">:</w:t>
      </w:r>
      <w:r/>
    </w:p>
    <w:p>
      <w:pPr>
        <w:spacing w:line="400" w:lineRule="exact"/>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jc w:val="right"/>
        <w:widowControl/>
        <w:rPr>
          <w:rFonts w:hint="eastAsia" w:ascii="宋体" w:hAnsi="宋体"/>
          <w:color w:val="auto"/>
          <w:sz w:val="24"/>
          <w:highlight w:val="none"/>
          <w:shd w:val="clear" w:color="auto" w:fill="auto"/>
        </w:rPr>
      </w:pPr>
      <w:r>
        <w:rPr>
          <w:rFonts w:hint="eastAsia" w:ascii="宋体" w:hAnsi="宋体" w:cs="宋体"/>
          <w:color w:val="auto"/>
          <w:szCs w:val="21"/>
          <w:highlight w:val="none"/>
          <w:shd w:val="clear" w:color="auto" w:fill="auto"/>
        </w:rPr>
        <w:t xml:space="preserve">（</w:t>
      </w:r>
      <w:r>
        <w:rPr>
          <w:rFonts w:hint="eastAsia" w:ascii="宋体" w:hAnsi="宋体"/>
          <w:color w:val="auto"/>
          <w:sz w:val="24"/>
          <w:highlight w:val="none"/>
          <w:shd w:val="clear" w:color="auto" w:fill="auto"/>
        </w:rPr>
        <w:t xml:space="preserve">全文完</w:t>
      </w:r>
      <w:r>
        <w:rPr>
          <w:rFonts w:hint="eastAsia" w:ascii="宋体" w:hAnsi="宋体" w:cs="宋体"/>
          <w:color w:val="auto"/>
          <w:szCs w:val="21"/>
          <w:highlight w:val="none"/>
          <w:shd w:val="clear" w:color="auto" w:fill="auto"/>
        </w:rPr>
        <w:t xml:space="preserve">）</w:t>
      </w:r>
      <w:r/>
    </w:p>
    <w:sectPr>
      <w:headerReference w:type="default" r:id="rId9"/>
      <w:footerReference w:type="default" r:id="rId10"/>
      <w:footerReference w:type="even" r:id="rId11"/>
      <w:footnotePr/>
      <w:endnotePr/>
      <w:type w:val="nextPage"/>
      <w:pgSz w:w="11906" w:h="16838" w:orient="portrait"/>
      <w:pgMar w:top="907" w:right="907" w:bottom="907" w:left="907" w:header="624" w:footer="510" w:gutter="113"/>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dobe 仿宋 Std R">
    <w:panose1 w:val="020B0503020202020204"/>
  </w:font>
  <w:font w:name="Tahoma">
    <w:panose1 w:val="020B0604030504040204"/>
  </w:font>
  <w:font w:name="Cambria">
    <w:panose1 w:val="02040503050406030204"/>
  </w:font>
  <w:font w:name="仿宋">
    <w:panose1 w:val="02010609060101010101"/>
  </w:font>
  <w:font w:name="等线 Light">
    <w:panose1 w:val="02010600030101010101"/>
  </w:font>
  <w:font w:name="Calibri Light">
    <w:panose1 w:val="020F03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Tms Rmn">
    <w:panose1 w:val="020B0503020202020204"/>
  </w:font>
  <w:font w:name="Calibri">
    <w:panose1 w:val="020F0502020204030204"/>
  </w:font>
  <w:font w:name="文鼎CS仿宋体">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rPr>
        <w:rStyle w:val="1003"/>
      </w:rPr>
      <w:framePr w:wrap="around" w:vAnchor="text" w:hAnchor="margin" w:xAlign="center" w:y="1"/>
    </w:pPr>
    <w:r>
      <w:fldChar w:fldCharType="begin"/>
    </w:r>
    <w:r>
      <w:rPr>
        <w:rStyle w:val="1003"/>
      </w:rPr>
      <w:instrText xml:space="preserve">PAGE  </w:instrText>
    </w:r>
    <w:r>
      <w:fldChar w:fldCharType="separate"/>
    </w:r>
    <w:r>
      <w:rPr>
        <w:rStyle w:val="1003"/>
      </w:rPr>
      <w:t xml:space="preserve">16</w:t>
    </w:r>
    <w:r>
      <w:fldChar w:fldCharType="end"/>
    </w:r>
    <w:r/>
  </w:p>
  <w:p>
    <w:pPr>
      <w:pStyle w:val="9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rPr>
        <w:rStyle w:val="1003"/>
      </w:rPr>
      <w:framePr w:wrap="around" w:vAnchor="text" w:hAnchor="margin" w:xAlign="center" w:y="1"/>
    </w:pPr>
    <w:r>
      <w:fldChar w:fldCharType="begin"/>
    </w:r>
    <w:r>
      <w:rPr>
        <w:rStyle w:val="1003"/>
      </w:rPr>
      <w:instrText xml:space="preserve">PAGE  </w:instrText>
    </w:r>
    <w:r>
      <w:fldChar w:fldCharType="separate"/>
    </w:r>
    <w:r>
      <w:fldChar w:fldCharType="end"/>
    </w:r>
    <w:r/>
  </w:p>
  <w:p>
    <w:pPr>
      <w:pStyle w:val="9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both"/>
      <w:rPr>
        <w:rFonts w:hint="default" w:ascii="宋体" w:hAnsi="宋体" w:eastAsia="宋体" w:cs="宋体"/>
        <w:lang w:val="en-US" w:eastAsia="zh-CN"/>
      </w:rPr>
    </w:pPr>
    <w:r>
      <w:rPr>
        <w:rFonts w:hint="eastAsia"/>
      </w:rPr>
      <w:t xml:space="preserve">苏州市原鑫招投标咨询服务有限公司                                              </w:t>
    </w:r>
    <w:r>
      <w:rPr>
        <w:rFonts w:hint="eastAsia" w:ascii="宋体" w:hAnsi="宋体" w:cs="宋体"/>
      </w:rPr>
      <w:t xml:space="preserve">     </w:t>
    </w:r>
    <w:r>
      <w:rPr>
        <w:rFonts w:hint="eastAsia" w:ascii="宋体" w:hAnsi="宋体" w:cs="宋体"/>
        <w:lang w:eastAsia="zh-CN"/>
      </w:rPr>
      <w:t xml:space="preserve">JSZC-320500-SZYX-C2025-0083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1"/>
      <w:numFmt w:val="decimal"/>
      <w:isLgl w:val="false"/>
      <w:suff w:val="tab"/>
      <w:lvlText w:val="（%1）"/>
      <w:lvlJc w:val="left"/>
      <w:pPr>
        <w:ind w:left="1739" w:hanging="420"/>
        <w:tabs>
          <w:tab w:val="left" w:pos="1739" w:leader="none"/>
        </w:tabs>
      </w:pPr>
      <w:rPr>
        <w:rFonts w:hint="eastAsia"/>
      </w:rPr>
    </w:lvl>
    <w:lvl w:ilvl="1">
      <w:start w:val="1"/>
      <w:numFmt w:val="lowerLetter"/>
      <w:isLgl w:val="false"/>
      <w:suff w:val="tab"/>
      <w:lvlText w:val="%2)"/>
      <w:lvlJc w:val="left"/>
      <w:pPr>
        <w:ind w:left="1739" w:hanging="420"/>
        <w:tabs>
          <w:tab w:val="left" w:pos="1739" w:leader="none"/>
        </w:tabs>
      </w:pPr>
    </w:lvl>
    <w:lvl w:ilvl="2">
      <w:start w:val="1"/>
      <w:numFmt w:val="lowerRoman"/>
      <w:isLgl w:val="false"/>
      <w:suff w:val="tab"/>
      <w:lvlText w:val="%3."/>
      <w:lvlJc w:val="right"/>
      <w:pPr>
        <w:ind w:left="2159" w:hanging="420"/>
        <w:tabs>
          <w:tab w:val="left" w:pos="2159" w:leader="none"/>
        </w:tabs>
      </w:pPr>
    </w:lvl>
    <w:lvl w:ilvl="3">
      <w:start w:val="1"/>
      <w:numFmt w:val="decimal"/>
      <w:isLgl w:val="false"/>
      <w:suff w:val="tab"/>
      <w:lvlText w:val="（%4）"/>
      <w:lvlJc w:val="left"/>
      <w:pPr>
        <w:ind w:left="2579" w:hanging="420"/>
        <w:tabs>
          <w:tab w:val="left" w:pos="2579" w:leader="none"/>
        </w:tabs>
      </w:pPr>
      <w:rPr>
        <w:rFonts w:hint="eastAsia"/>
      </w:rPr>
    </w:lvl>
    <w:lvl w:ilvl="4">
      <w:start w:val="1"/>
      <w:numFmt w:val="lowerLetter"/>
      <w:isLgl w:val="false"/>
      <w:suff w:val="tab"/>
      <w:lvlText w:val="%5)"/>
      <w:lvlJc w:val="left"/>
      <w:pPr>
        <w:ind w:left="2999" w:hanging="420"/>
        <w:tabs>
          <w:tab w:val="left" w:pos="2999" w:leader="none"/>
        </w:tabs>
      </w:pPr>
    </w:lvl>
    <w:lvl w:ilvl="5">
      <w:start w:val="1"/>
      <w:numFmt w:val="lowerRoman"/>
      <w:isLgl w:val="false"/>
      <w:suff w:val="tab"/>
      <w:lvlText w:val="%6."/>
      <w:lvlJc w:val="right"/>
      <w:pPr>
        <w:ind w:left="3419" w:hanging="420"/>
        <w:tabs>
          <w:tab w:val="left" w:pos="3419" w:leader="none"/>
        </w:tabs>
      </w:pPr>
    </w:lvl>
    <w:lvl w:ilvl="6">
      <w:start w:val="1"/>
      <w:numFmt w:val="decimal"/>
      <w:isLgl w:val="false"/>
      <w:suff w:val="tab"/>
      <w:lvlText w:val="%7."/>
      <w:lvlJc w:val="left"/>
      <w:pPr>
        <w:ind w:left="3839" w:hanging="420"/>
        <w:tabs>
          <w:tab w:val="left" w:pos="3839" w:leader="none"/>
        </w:tabs>
      </w:pPr>
    </w:lvl>
    <w:lvl w:ilvl="7">
      <w:start w:val="1"/>
      <w:numFmt w:val="lowerLetter"/>
      <w:isLgl w:val="false"/>
      <w:suff w:val="tab"/>
      <w:lvlText w:val="%8)"/>
      <w:lvlJc w:val="left"/>
      <w:pPr>
        <w:ind w:left="4259" w:hanging="420"/>
        <w:tabs>
          <w:tab w:val="left" w:pos="4259" w:leader="none"/>
        </w:tabs>
      </w:pPr>
    </w:lvl>
    <w:lvl w:ilvl="8">
      <w:start w:val="1"/>
      <w:numFmt w:val="lowerRoman"/>
      <w:isLgl w:val="false"/>
      <w:suff w:val="tab"/>
      <w:lvlText w:val="%9."/>
      <w:lvlJc w:val="right"/>
      <w:pPr>
        <w:ind w:left="4679" w:hanging="420"/>
        <w:tabs>
          <w:tab w:val="left" w:pos="4679" w:leader="none"/>
        </w:tabs>
      </w:pPr>
    </w:lvl>
  </w:abstractNum>
  <w:abstractNum w:abstractNumId="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1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2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1739" w:hanging="420"/>
        <w:tabs>
          <w:tab w:val="left" w:pos="1739" w:leader="none"/>
        </w:tabs>
      </w:pPr>
      <w:rPr>
        <w:rFonts w:hint="eastAsia"/>
      </w:rPr>
    </w:lvl>
    <w:lvl w:ilvl="1">
      <w:start w:val="1"/>
      <w:numFmt w:val="lowerLetter"/>
      <w:isLgl w:val="false"/>
      <w:suff w:val="tab"/>
      <w:lvlText w:val="%2)"/>
      <w:lvlJc w:val="left"/>
      <w:pPr>
        <w:ind w:left="1739" w:hanging="420"/>
        <w:tabs>
          <w:tab w:val="left" w:pos="1739" w:leader="none"/>
        </w:tabs>
      </w:pPr>
    </w:lvl>
    <w:lvl w:ilvl="2">
      <w:start w:val="1"/>
      <w:numFmt w:val="lowerRoman"/>
      <w:isLgl w:val="false"/>
      <w:suff w:val="tab"/>
      <w:lvlText w:val="%3."/>
      <w:lvlJc w:val="right"/>
      <w:pPr>
        <w:ind w:left="2159" w:hanging="420"/>
        <w:tabs>
          <w:tab w:val="left" w:pos="2159" w:leader="none"/>
        </w:tabs>
      </w:pPr>
    </w:lvl>
    <w:lvl w:ilvl="3">
      <w:start w:val="1"/>
      <w:numFmt w:val="decimal"/>
      <w:isLgl w:val="false"/>
      <w:suff w:val="tab"/>
      <w:lvlText w:val="（%4）"/>
      <w:lvlJc w:val="left"/>
      <w:pPr>
        <w:ind w:left="2579" w:hanging="420"/>
        <w:tabs>
          <w:tab w:val="left" w:pos="2579" w:leader="none"/>
        </w:tabs>
      </w:pPr>
      <w:rPr>
        <w:rFonts w:hint="eastAsia"/>
      </w:rPr>
    </w:lvl>
    <w:lvl w:ilvl="4">
      <w:start w:val="1"/>
      <w:numFmt w:val="lowerLetter"/>
      <w:isLgl w:val="false"/>
      <w:suff w:val="tab"/>
      <w:lvlText w:val="%5)"/>
      <w:lvlJc w:val="left"/>
      <w:pPr>
        <w:ind w:left="2999" w:hanging="420"/>
        <w:tabs>
          <w:tab w:val="left" w:pos="2999" w:leader="none"/>
        </w:tabs>
      </w:pPr>
    </w:lvl>
    <w:lvl w:ilvl="5">
      <w:start w:val="1"/>
      <w:numFmt w:val="lowerRoman"/>
      <w:isLgl w:val="false"/>
      <w:suff w:val="tab"/>
      <w:lvlText w:val="%6."/>
      <w:lvlJc w:val="right"/>
      <w:pPr>
        <w:ind w:left="3419" w:hanging="420"/>
        <w:tabs>
          <w:tab w:val="left" w:pos="3419" w:leader="none"/>
        </w:tabs>
      </w:pPr>
    </w:lvl>
    <w:lvl w:ilvl="6">
      <w:start w:val="1"/>
      <w:numFmt w:val="decimal"/>
      <w:isLgl w:val="false"/>
      <w:suff w:val="tab"/>
      <w:lvlText w:val="%7."/>
      <w:lvlJc w:val="left"/>
      <w:pPr>
        <w:ind w:left="3839" w:hanging="420"/>
        <w:tabs>
          <w:tab w:val="left" w:pos="3839" w:leader="none"/>
        </w:tabs>
      </w:pPr>
    </w:lvl>
    <w:lvl w:ilvl="7">
      <w:start w:val="1"/>
      <w:numFmt w:val="lowerLetter"/>
      <w:isLgl w:val="false"/>
      <w:suff w:val="tab"/>
      <w:lvlText w:val="%8)"/>
      <w:lvlJc w:val="left"/>
      <w:pPr>
        <w:ind w:left="4259" w:hanging="420"/>
        <w:tabs>
          <w:tab w:val="left" w:pos="4259" w:leader="none"/>
        </w:tabs>
      </w:pPr>
    </w:lvl>
    <w:lvl w:ilvl="8">
      <w:start w:val="1"/>
      <w:numFmt w:val="lowerRoman"/>
      <w:isLgl w:val="false"/>
      <w:suff w:val="tab"/>
      <w:lvlText w:val="%9."/>
      <w:lvlJc w:val="right"/>
      <w:pPr>
        <w:ind w:left="4679" w:hanging="420"/>
        <w:tabs>
          <w:tab w:val="left" w:pos="4679" w:leader="none"/>
        </w:tabs>
      </w:pPr>
    </w:lvl>
  </w:abstractNum>
  <w:abstractNum w:abstractNumId="23">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1739" w:hanging="420"/>
        <w:tabs>
          <w:tab w:val="left" w:pos="1739" w:leader="none"/>
        </w:tabs>
      </w:pPr>
      <w:rPr>
        <w:rFonts w:hint="eastAsia"/>
      </w:rPr>
    </w:lvl>
    <w:lvl w:ilvl="1">
      <w:start w:val="1"/>
      <w:numFmt w:val="lowerLetter"/>
      <w:isLgl w:val="false"/>
      <w:suff w:val="tab"/>
      <w:lvlText w:val="%2)"/>
      <w:lvlJc w:val="left"/>
      <w:pPr>
        <w:ind w:left="1739" w:hanging="420"/>
        <w:tabs>
          <w:tab w:val="left" w:pos="1739" w:leader="none"/>
        </w:tabs>
      </w:pPr>
    </w:lvl>
    <w:lvl w:ilvl="2">
      <w:start w:val="1"/>
      <w:numFmt w:val="lowerRoman"/>
      <w:isLgl w:val="false"/>
      <w:suff w:val="tab"/>
      <w:lvlText w:val="%3."/>
      <w:lvlJc w:val="right"/>
      <w:pPr>
        <w:ind w:left="2159" w:hanging="420"/>
        <w:tabs>
          <w:tab w:val="left" w:pos="2159" w:leader="none"/>
        </w:tabs>
      </w:pPr>
    </w:lvl>
    <w:lvl w:ilvl="3">
      <w:start w:val="1"/>
      <w:numFmt w:val="decimal"/>
      <w:isLgl w:val="false"/>
      <w:suff w:val="tab"/>
      <w:lvlText w:val="（%4）"/>
      <w:lvlJc w:val="left"/>
      <w:pPr>
        <w:ind w:left="2579" w:hanging="420"/>
        <w:tabs>
          <w:tab w:val="left" w:pos="2579" w:leader="none"/>
        </w:tabs>
      </w:pPr>
      <w:rPr>
        <w:rFonts w:hint="eastAsia"/>
      </w:rPr>
    </w:lvl>
    <w:lvl w:ilvl="4">
      <w:start w:val="1"/>
      <w:numFmt w:val="lowerLetter"/>
      <w:isLgl w:val="false"/>
      <w:suff w:val="tab"/>
      <w:lvlText w:val="%5)"/>
      <w:lvlJc w:val="left"/>
      <w:pPr>
        <w:ind w:left="2999" w:hanging="420"/>
        <w:tabs>
          <w:tab w:val="left" w:pos="2999" w:leader="none"/>
        </w:tabs>
      </w:pPr>
    </w:lvl>
    <w:lvl w:ilvl="5">
      <w:start w:val="1"/>
      <w:numFmt w:val="lowerRoman"/>
      <w:isLgl w:val="false"/>
      <w:suff w:val="tab"/>
      <w:lvlText w:val="%6."/>
      <w:lvlJc w:val="right"/>
      <w:pPr>
        <w:ind w:left="3419" w:hanging="420"/>
        <w:tabs>
          <w:tab w:val="left" w:pos="3419" w:leader="none"/>
        </w:tabs>
      </w:pPr>
    </w:lvl>
    <w:lvl w:ilvl="6">
      <w:start w:val="1"/>
      <w:numFmt w:val="decimal"/>
      <w:isLgl w:val="false"/>
      <w:suff w:val="tab"/>
      <w:lvlText w:val="%7."/>
      <w:lvlJc w:val="left"/>
      <w:pPr>
        <w:ind w:left="3839" w:hanging="420"/>
        <w:tabs>
          <w:tab w:val="left" w:pos="3839" w:leader="none"/>
        </w:tabs>
      </w:pPr>
    </w:lvl>
    <w:lvl w:ilvl="7">
      <w:start w:val="1"/>
      <w:numFmt w:val="lowerLetter"/>
      <w:isLgl w:val="false"/>
      <w:suff w:val="tab"/>
      <w:lvlText w:val="%8)"/>
      <w:lvlJc w:val="left"/>
      <w:pPr>
        <w:ind w:left="4259" w:hanging="420"/>
        <w:tabs>
          <w:tab w:val="left" w:pos="4259" w:leader="none"/>
        </w:tabs>
      </w:pPr>
    </w:lvl>
    <w:lvl w:ilvl="8">
      <w:start w:val="1"/>
      <w:numFmt w:val="lowerRoman"/>
      <w:isLgl w:val="false"/>
      <w:suff w:val="tab"/>
      <w:lvlText w:val="%9."/>
      <w:lvlJc w:val="right"/>
      <w:pPr>
        <w:ind w:left="4679" w:hanging="420"/>
        <w:tabs>
          <w:tab w:val="left" w:pos="4679" w:leader="none"/>
        </w:tabs>
      </w:pPr>
    </w:lvl>
  </w:abstractNum>
  <w:abstractNum w:abstractNumId="2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28">
    <w:multiLevelType w:val="hybridMultilevel"/>
    <w:lvl w:ilvl="0">
      <w:start w:val="1"/>
      <w:numFmt w:val="chineseCountingThousand"/>
      <w:pStyle w:val="1123"/>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9">
    <w:multiLevelType w:val="hybridMultilevel"/>
    <w:lvl w:ilvl="0">
      <w:start w:val="1"/>
      <w:numFmt w:val="decimal"/>
      <w:pStyle w:val="1091"/>
      <w:isLgl w:val="false"/>
      <w:suff w:val="space"/>
      <w:lvlText w:val="%1"/>
      <w:lvlJc w:val="left"/>
      <w:pPr>
        <w:ind w:left="0" w:firstLine="0"/>
      </w:pPr>
      <w:rPr>
        <w:rFonts w:hint="eastAsia" w:ascii="宋体" w:hAnsi="宋体" w:eastAsia="宋体"/>
        <w:b/>
      </w:rPr>
    </w:lvl>
    <w:lvl w:ilvl="1">
      <w:start w:val="1"/>
      <w:numFmt w:val="decimal"/>
      <w:pStyle w:val="1038"/>
      <w:isLgl w:val="false"/>
      <w:suff w:val="space"/>
      <w:lvlText w:val="%1.%2"/>
      <w:lvlJc w:val="left"/>
      <w:pPr>
        <w:ind w:left="-84" w:firstLine="510"/>
      </w:pPr>
      <w:rPr>
        <w:rFonts w:hint="eastAsia" w:ascii="宋体" w:hAnsi="宋体" w:eastAsia="宋体"/>
      </w:rPr>
    </w:lvl>
    <w:lvl w:ilvl="2">
      <w:start w:val="1"/>
      <w:numFmt w:val="decimal"/>
      <w:pStyle w:val="1064"/>
      <w:isLgl w:val="false"/>
      <w:suff w:val="tab"/>
      <w:lvlText w:val="%1.%2.%3"/>
      <w:lvlJc w:val="left"/>
      <w:pPr>
        <w:ind w:left="0" w:firstLine="510"/>
      </w:pPr>
      <w:rPr>
        <w:rFonts w:hint="eastAsia"/>
      </w:rPr>
    </w:lvl>
    <w:lvl w:ilvl="3">
      <w:start w:val="1"/>
      <w:numFmt w:val="decimal"/>
      <w:pStyle w:val="1106"/>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1.%2"/>
      <w:lvlJc w:val="left"/>
      <w:pPr>
        <w:ind w:left="567" w:hanging="567"/>
        <w:tabs>
          <w:tab w:val="left" w:pos="567" w:leader="none"/>
        </w:tabs>
      </w:pPr>
      <w:rPr>
        <w:rFonts w:hint="eastAsia"/>
        <w:b w:val="0"/>
        <w:color w:val="auto"/>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2">
    <w:multiLevelType w:val="hybridMultilevel"/>
    <w:lvl w:ilvl="0">
      <w:start w:val="1"/>
      <w:numFmt w:val="chineseCountingThousand"/>
      <w:isLgl w:val="false"/>
      <w:suff w:val="tab"/>
      <w:lvlText w:val="(%1)"/>
      <w:lvlJc w:val="left"/>
      <w:pPr>
        <w:ind w:left="567" w:hanging="567"/>
        <w:tabs>
          <w:tab w:val="left" w:pos="567" w:leader="none"/>
        </w:tabs>
      </w:pPr>
      <w:rPr>
        <w:rFonts w:hint="eastAsia" w:ascii="宋体" w:hAnsi="宋体" w:eastAsia="宋体"/>
        <w:b/>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33">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3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8">
    <w:multiLevelType w:val="hybridMultilevel"/>
    <w:lvl w:ilvl="0">
      <w:start w:val="1"/>
      <w:numFmt w:val="chineseCounting"/>
      <w:isLgl w:val="false"/>
      <w:suff w:val="tab"/>
      <w:lvlText w:val="%1、"/>
      <w:lvlJc w:val="left"/>
      <w:pPr>
        <w:ind w:left="567" w:hanging="567"/>
        <w:tabs>
          <w:tab w:val="left" w:pos="56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4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pPr>
      <w:rPr>
        <w:rFonts w:ascii="宋体" w:hAnsi="宋体" w:eastAsia="宋体"/>
        <w:b w:val="0"/>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4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ind w:left="987" w:hanging="420"/>
      </w:pPr>
    </w:lvl>
    <w:lvl w:ilvl="1">
      <w:start w:val="1"/>
      <w:numFmt w:val="lowerLetter"/>
      <w:isLgl w:val="false"/>
      <w:suff w:val="tab"/>
      <w:lvlText w:val="%2)"/>
      <w:lvlJc w:val="left"/>
      <w:pPr>
        <w:ind w:left="1407" w:hanging="420"/>
      </w:pPr>
    </w:lvl>
    <w:lvl w:ilvl="2">
      <w:start w:val="1"/>
      <w:numFmt w:val="lowerRoman"/>
      <w:isLgl w:val="false"/>
      <w:suff w:val="tab"/>
      <w:lvlText w:val="%3."/>
      <w:lvlJc w:val="right"/>
      <w:pPr>
        <w:ind w:left="1827" w:hanging="420"/>
      </w:pPr>
    </w:lvl>
    <w:lvl w:ilvl="3">
      <w:start w:val="1"/>
      <w:numFmt w:val="decimal"/>
      <w:isLgl w:val="false"/>
      <w:suff w:val="tab"/>
      <w:lvlText w:val="%4."/>
      <w:lvlJc w:val="left"/>
      <w:pPr>
        <w:ind w:left="2247" w:hanging="420"/>
      </w:pPr>
    </w:lvl>
    <w:lvl w:ilvl="4">
      <w:start w:val="1"/>
      <w:numFmt w:val="lowerLetter"/>
      <w:isLgl w:val="false"/>
      <w:suff w:val="tab"/>
      <w:lvlText w:val="%5)"/>
      <w:lvlJc w:val="left"/>
      <w:pPr>
        <w:ind w:left="2667" w:hanging="420"/>
      </w:pPr>
    </w:lvl>
    <w:lvl w:ilvl="5">
      <w:start w:val="1"/>
      <w:numFmt w:val="lowerRoman"/>
      <w:isLgl w:val="false"/>
      <w:suff w:val="tab"/>
      <w:lvlText w:val="%6."/>
      <w:lvlJc w:val="right"/>
      <w:pPr>
        <w:ind w:left="3087" w:hanging="420"/>
      </w:pPr>
    </w:lvl>
    <w:lvl w:ilvl="6">
      <w:start w:val="1"/>
      <w:numFmt w:val="decimal"/>
      <w:isLgl w:val="false"/>
      <w:suff w:val="tab"/>
      <w:lvlText w:val="%7."/>
      <w:lvlJc w:val="left"/>
      <w:pPr>
        <w:ind w:left="3507" w:hanging="420"/>
      </w:pPr>
    </w:lvl>
    <w:lvl w:ilvl="7">
      <w:start w:val="1"/>
      <w:numFmt w:val="lowerLetter"/>
      <w:isLgl w:val="false"/>
      <w:suff w:val="tab"/>
      <w:lvlText w:val="%8)"/>
      <w:lvlJc w:val="left"/>
      <w:pPr>
        <w:ind w:left="3927" w:hanging="420"/>
      </w:pPr>
    </w:lvl>
    <w:lvl w:ilvl="8">
      <w:start w:val="1"/>
      <w:numFmt w:val="lowerRoman"/>
      <w:isLgl w:val="false"/>
      <w:suff w:val="tab"/>
      <w:lvlText w:val="%9."/>
      <w:lvlJc w:val="right"/>
      <w:pPr>
        <w:ind w:left="4347" w:hanging="420"/>
      </w:pPr>
    </w:lvl>
  </w:abstractNum>
  <w:abstractNum w:abstractNumId="4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7">
    <w:multiLevelType w:val="hybridMultilevel"/>
    <w:lvl w:ilvl="0">
      <w:start w:val="1"/>
      <w:numFmt w:val="bullet"/>
      <w:pStyle w:val="1110"/>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4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0">
    <w:multiLevelType w:val="hybridMultilevel"/>
    <w:lvl w:ilvl="0">
      <w:start w:val="1"/>
      <w:numFmt w:val="chineseCountingThousand"/>
      <w:pStyle w:val="983"/>
      <w:isLgl w:val="false"/>
      <w:suff w:val="tab"/>
      <w:lvlText w:val="(%1)"/>
      <w:lvlJc w:val="left"/>
      <w:pPr>
        <w:ind w:left="420" w:hanging="420"/>
      </w:pPr>
      <w:rPr>
        <w:rFonts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tab"/>
      <w:lvlText w:val="（%1）"/>
      <w:lvlJc w:val="left"/>
      <w:pPr>
        <w:ind w:left="1739" w:hanging="420"/>
        <w:tabs>
          <w:tab w:val="left" w:pos="1739" w:leader="none"/>
        </w:tabs>
      </w:pPr>
      <w:rPr>
        <w:rFonts w:hint="eastAsia"/>
      </w:rPr>
    </w:lvl>
    <w:lvl w:ilvl="1">
      <w:start w:val="1"/>
      <w:numFmt w:val="lowerLetter"/>
      <w:isLgl w:val="false"/>
      <w:suff w:val="tab"/>
      <w:lvlText w:val="%2)"/>
      <w:lvlJc w:val="left"/>
      <w:pPr>
        <w:ind w:left="1739" w:hanging="420"/>
        <w:tabs>
          <w:tab w:val="left" w:pos="1739" w:leader="none"/>
        </w:tabs>
      </w:pPr>
    </w:lvl>
    <w:lvl w:ilvl="2">
      <w:start w:val="1"/>
      <w:numFmt w:val="lowerRoman"/>
      <w:isLgl w:val="false"/>
      <w:suff w:val="tab"/>
      <w:lvlText w:val="%3."/>
      <w:lvlJc w:val="right"/>
      <w:pPr>
        <w:ind w:left="2159" w:hanging="420"/>
        <w:tabs>
          <w:tab w:val="left" w:pos="2159" w:leader="none"/>
        </w:tabs>
      </w:pPr>
    </w:lvl>
    <w:lvl w:ilvl="3">
      <w:start w:val="1"/>
      <w:numFmt w:val="decimal"/>
      <w:isLgl w:val="false"/>
      <w:suff w:val="tab"/>
      <w:lvlText w:val="（%4）"/>
      <w:lvlJc w:val="left"/>
      <w:pPr>
        <w:ind w:left="2579" w:hanging="420"/>
        <w:tabs>
          <w:tab w:val="left" w:pos="2579" w:leader="none"/>
        </w:tabs>
      </w:pPr>
      <w:rPr>
        <w:rFonts w:hint="eastAsia"/>
      </w:rPr>
    </w:lvl>
    <w:lvl w:ilvl="4">
      <w:start w:val="1"/>
      <w:numFmt w:val="lowerLetter"/>
      <w:isLgl w:val="false"/>
      <w:suff w:val="tab"/>
      <w:lvlText w:val="%5)"/>
      <w:lvlJc w:val="left"/>
      <w:pPr>
        <w:ind w:left="2999" w:hanging="420"/>
        <w:tabs>
          <w:tab w:val="left" w:pos="2999" w:leader="none"/>
        </w:tabs>
      </w:pPr>
    </w:lvl>
    <w:lvl w:ilvl="5">
      <w:start w:val="1"/>
      <w:numFmt w:val="lowerRoman"/>
      <w:isLgl w:val="false"/>
      <w:suff w:val="tab"/>
      <w:lvlText w:val="%6."/>
      <w:lvlJc w:val="right"/>
      <w:pPr>
        <w:ind w:left="3419" w:hanging="420"/>
        <w:tabs>
          <w:tab w:val="left" w:pos="3419" w:leader="none"/>
        </w:tabs>
      </w:pPr>
    </w:lvl>
    <w:lvl w:ilvl="6">
      <w:start w:val="1"/>
      <w:numFmt w:val="decimal"/>
      <w:isLgl w:val="false"/>
      <w:suff w:val="tab"/>
      <w:lvlText w:val="%7."/>
      <w:lvlJc w:val="left"/>
      <w:pPr>
        <w:ind w:left="3839" w:hanging="420"/>
        <w:tabs>
          <w:tab w:val="left" w:pos="3839" w:leader="none"/>
        </w:tabs>
      </w:pPr>
    </w:lvl>
    <w:lvl w:ilvl="7">
      <w:start w:val="1"/>
      <w:numFmt w:val="lowerLetter"/>
      <w:isLgl w:val="false"/>
      <w:suff w:val="tab"/>
      <w:lvlText w:val="%8)"/>
      <w:lvlJc w:val="left"/>
      <w:pPr>
        <w:ind w:left="4259" w:hanging="420"/>
        <w:tabs>
          <w:tab w:val="left" w:pos="4259" w:leader="none"/>
        </w:tabs>
      </w:pPr>
    </w:lvl>
    <w:lvl w:ilvl="8">
      <w:start w:val="1"/>
      <w:numFmt w:val="lowerRoman"/>
      <w:isLgl w:val="false"/>
      <w:suff w:val="tab"/>
      <w:lvlText w:val="%9."/>
      <w:lvlJc w:val="right"/>
      <w:pPr>
        <w:ind w:left="4679" w:hanging="420"/>
        <w:tabs>
          <w:tab w:val="left" w:pos="4679" w:leader="none"/>
        </w:tabs>
      </w:pPr>
    </w:lvl>
  </w:abstractNum>
  <w:num w:numId="1">
    <w:abstractNumId w:val="50"/>
  </w:num>
  <w:num w:numId="2">
    <w:abstractNumId w:val="29"/>
  </w:num>
  <w:num w:numId="3">
    <w:abstractNumId w:val="47"/>
  </w:num>
  <w:num w:numId="4">
    <w:abstractNumId w:val="28"/>
  </w:num>
  <w:num w:numId="5">
    <w:abstractNumId w:val="38"/>
  </w:num>
  <w:num w:numId="6">
    <w:abstractNumId w:val="0"/>
  </w:num>
  <w:num w:numId="7">
    <w:abstractNumId w:val="16"/>
  </w:num>
  <w:num w:numId="8">
    <w:abstractNumId w:val="13"/>
  </w:num>
  <w:num w:numId="9">
    <w:abstractNumId w:val="5"/>
  </w:num>
  <w:num w:numId="10">
    <w:abstractNumId w:val="30"/>
  </w:num>
  <w:num w:numId="11">
    <w:abstractNumId w:val="4"/>
  </w:num>
  <w:num w:numId="12">
    <w:abstractNumId w:val="1"/>
  </w:num>
  <w:num w:numId="13">
    <w:abstractNumId w:val="48"/>
  </w:num>
  <w:num w:numId="14">
    <w:abstractNumId w:val="26"/>
  </w:num>
  <w:num w:numId="15">
    <w:abstractNumId w:val="6"/>
  </w:num>
  <w:num w:numId="16">
    <w:abstractNumId w:val="17"/>
  </w:num>
  <w:num w:numId="17">
    <w:abstractNumId w:val="34"/>
  </w:num>
  <w:num w:numId="18">
    <w:abstractNumId w:val="53"/>
  </w:num>
  <w:num w:numId="19">
    <w:abstractNumId w:val="11"/>
  </w:num>
  <w:num w:numId="20">
    <w:abstractNumId w:val="10"/>
  </w:num>
  <w:num w:numId="21">
    <w:abstractNumId w:val="21"/>
  </w:num>
  <w:num w:numId="22">
    <w:abstractNumId w:val="51"/>
  </w:num>
  <w:num w:numId="23">
    <w:abstractNumId w:val="23"/>
  </w:num>
  <w:num w:numId="24">
    <w:abstractNumId w:val="52"/>
  </w:num>
  <w:num w:numId="25">
    <w:abstractNumId w:val="42"/>
  </w:num>
  <w:num w:numId="26">
    <w:abstractNumId w:val="24"/>
  </w:num>
  <w:num w:numId="27">
    <w:abstractNumId w:val="15"/>
  </w:num>
  <w:num w:numId="28">
    <w:abstractNumId w:val="44"/>
  </w:num>
  <w:num w:numId="29">
    <w:abstractNumId w:val="33"/>
  </w:num>
  <w:num w:numId="30">
    <w:abstractNumId w:val="7"/>
  </w:num>
  <w:num w:numId="31">
    <w:abstractNumId w:val="8"/>
  </w:num>
  <w:num w:numId="32">
    <w:abstractNumId w:val="40"/>
  </w:num>
  <w:num w:numId="33">
    <w:abstractNumId w:val="18"/>
  </w:num>
  <w:num w:numId="34">
    <w:abstractNumId w:val="14"/>
  </w:num>
  <w:num w:numId="35">
    <w:abstractNumId w:val="27"/>
  </w:num>
  <w:num w:numId="36">
    <w:abstractNumId w:val="19"/>
  </w:num>
  <w:num w:numId="37">
    <w:abstractNumId w:val="2"/>
  </w:num>
  <w:num w:numId="38">
    <w:abstractNumId w:val="20"/>
  </w:num>
  <w:num w:numId="39">
    <w:abstractNumId w:val="9"/>
  </w:num>
  <w:num w:numId="40">
    <w:abstractNumId w:val="45"/>
  </w:num>
  <w:num w:numId="41">
    <w:abstractNumId w:val="55"/>
  </w:num>
  <w:num w:numId="42">
    <w:abstractNumId w:val="32"/>
  </w:num>
  <w:num w:numId="43">
    <w:abstractNumId w:val="39"/>
  </w:num>
  <w:num w:numId="44">
    <w:abstractNumId w:val="12"/>
  </w:num>
  <w:num w:numId="45">
    <w:abstractNumId w:val="46"/>
  </w:num>
  <w:num w:numId="46">
    <w:abstractNumId w:val="36"/>
  </w:num>
  <w:num w:numId="47">
    <w:abstractNumId w:val="43"/>
  </w:num>
  <w:num w:numId="48">
    <w:abstractNumId w:val="31"/>
  </w:num>
  <w:num w:numId="49">
    <w:abstractNumId w:val="56"/>
  </w:num>
  <w:num w:numId="50">
    <w:abstractNumId w:val="22"/>
  </w:num>
  <w:num w:numId="51">
    <w:abstractNumId w:val="25"/>
  </w:num>
  <w:num w:numId="52">
    <w:abstractNumId w:val="3"/>
  </w:num>
  <w:num w:numId="53">
    <w:abstractNumId w:val="54"/>
  </w:num>
  <w:num w:numId="54">
    <w:abstractNumId w:val="35"/>
  </w:num>
  <w:num w:numId="55">
    <w:abstractNumId w:val="41"/>
  </w:num>
  <w:num w:numId="5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5">
    <w:name w:val="Heading 1 Char"/>
    <w:basedOn w:val="954"/>
    <w:link w:val="945"/>
    <w:uiPriority w:val="9"/>
    <w:rPr>
      <w:rFonts w:ascii="Arial" w:hAnsi="Arial" w:eastAsia="Arial" w:cs="Arial"/>
      <w:sz w:val="40"/>
      <w:szCs w:val="40"/>
    </w:rPr>
  </w:style>
  <w:style w:type="character" w:styleId="796">
    <w:name w:val="Heading 2 Char"/>
    <w:basedOn w:val="954"/>
    <w:link w:val="946"/>
    <w:uiPriority w:val="9"/>
    <w:rPr>
      <w:rFonts w:ascii="Arial" w:hAnsi="Arial" w:eastAsia="Arial" w:cs="Arial"/>
      <w:sz w:val="34"/>
    </w:rPr>
  </w:style>
  <w:style w:type="character" w:styleId="797">
    <w:name w:val="Heading 3 Char"/>
    <w:basedOn w:val="954"/>
    <w:link w:val="947"/>
    <w:uiPriority w:val="9"/>
    <w:rPr>
      <w:rFonts w:ascii="Arial" w:hAnsi="Arial" w:eastAsia="Arial" w:cs="Arial"/>
      <w:sz w:val="30"/>
      <w:szCs w:val="30"/>
    </w:rPr>
  </w:style>
  <w:style w:type="character" w:styleId="798">
    <w:name w:val="Heading 4 Char"/>
    <w:basedOn w:val="954"/>
    <w:link w:val="948"/>
    <w:uiPriority w:val="9"/>
    <w:rPr>
      <w:rFonts w:ascii="Arial" w:hAnsi="Arial" w:eastAsia="Arial" w:cs="Arial"/>
      <w:b/>
      <w:bCs/>
      <w:sz w:val="26"/>
      <w:szCs w:val="26"/>
    </w:rPr>
  </w:style>
  <w:style w:type="character" w:styleId="799">
    <w:name w:val="Heading 5 Char"/>
    <w:basedOn w:val="954"/>
    <w:link w:val="949"/>
    <w:uiPriority w:val="9"/>
    <w:rPr>
      <w:rFonts w:ascii="Arial" w:hAnsi="Arial" w:eastAsia="Arial" w:cs="Arial"/>
      <w:b/>
      <w:bCs/>
      <w:sz w:val="24"/>
      <w:szCs w:val="24"/>
    </w:rPr>
  </w:style>
  <w:style w:type="character" w:styleId="800">
    <w:name w:val="Heading 6 Char"/>
    <w:basedOn w:val="954"/>
    <w:link w:val="950"/>
    <w:uiPriority w:val="9"/>
    <w:rPr>
      <w:rFonts w:ascii="Arial" w:hAnsi="Arial" w:eastAsia="Arial" w:cs="Arial"/>
      <w:b/>
      <w:bCs/>
      <w:sz w:val="22"/>
      <w:szCs w:val="22"/>
    </w:rPr>
  </w:style>
  <w:style w:type="character" w:styleId="801">
    <w:name w:val="Heading 7 Char"/>
    <w:basedOn w:val="954"/>
    <w:link w:val="951"/>
    <w:uiPriority w:val="9"/>
    <w:rPr>
      <w:rFonts w:ascii="Arial" w:hAnsi="Arial" w:eastAsia="Arial" w:cs="Arial"/>
      <w:b/>
      <w:bCs/>
      <w:i/>
      <w:iCs/>
      <w:sz w:val="22"/>
      <w:szCs w:val="22"/>
    </w:rPr>
  </w:style>
  <w:style w:type="character" w:styleId="802">
    <w:name w:val="Heading 8 Char"/>
    <w:basedOn w:val="954"/>
    <w:link w:val="952"/>
    <w:uiPriority w:val="9"/>
    <w:rPr>
      <w:rFonts w:ascii="Arial" w:hAnsi="Arial" w:eastAsia="Arial" w:cs="Arial"/>
      <w:i/>
      <w:iCs/>
      <w:sz w:val="22"/>
      <w:szCs w:val="22"/>
    </w:rPr>
  </w:style>
  <w:style w:type="character" w:styleId="803">
    <w:name w:val="Heading 9 Char"/>
    <w:basedOn w:val="954"/>
    <w:link w:val="953"/>
    <w:uiPriority w:val="9"/>
    <w:rPr>
      <w:rFonts w:ascii="Arial" w:hAnsi="Arial" w:eastAsia="Arial" w:cs="Arial"/>
      <w:i/>
      <w:iCs/>
      <w:sz w:val="21"/>
      <w:szCs w:val="21"/>
    </w:rPr>
  </w:style>
  <w:style w:type="character" w:styleId="804">
    <w:name w:val="Title Char"/>
    <w:basedOn w:val="954"/>
    <w:link w:val="1001"/>
    <w:uiPriority w:val="10"/>
    <w:rPr>
      <w:sz w:val="48"/>
      <w:szCs w:val="48"/>
    </w:rPr>
  </w:style>
  <w:style w:type="character" w:styleId="805">
    <w:name w:val="Subtitle Char"/>
    <w:basedOn w:val="954"/>
    <w:link w:val="987"/>
    <w:uiPriority w:val="11"/>
    <w:rPr>
      <w:sz w:val="24"/>
      <w:szCs w:val="24"/>
    </w:rPr>
  </w:style>
  <w:style w:type="paragraph" w:styleId="806">
    <w:name w:val="Quote"/>
    <w:basedOn w:val="944"/>
    <w:next w:val="944"/>
    <w:link w:val="807"/>
    <w:uiPriority w:val="29"/>
    <w:qFormat/>
    <w:pPr>
      <w:ind w:left="720" w:right="720"/>
    </w:pPr>
    <w:rPr>
      <w:i/>
    </w:rPr>
  </w:style>
  <w:style w:type="character" w:styleId="807">
    <w:name w:val="Quote Char"/>
    <w:link w:val="806"/>
    <w:uiPriority w:val="29"/>
    <w:rPr>
      <w:i/>
    </w:rPr>
  </w:style>
  <w:style w:type="paragraph" w:styleId="808">
    <w:name w:val="Intense Quote"/>
    <w:basedOn w:val="944"/>
    <w:next w:val="944"/>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name w:val="Intense Quote Char"/>
    <w:link w:val="808"/>
    <w:uiPriority w:val="30"/>
    <w:rPr>
      <w:i/>
    </w:rPr>
  </w:style>
  <w:style w:type="character" w:styleId="810">
    <w:name w:val="Header Char"/>
    <w:basedOn w:val="954"/>
    <w:link w:val="982"/>
    <w:uiPriority w:val="99"/>
  </w:style>
  <w:style w:type="character" w:styleId="811">
    <w:name w:val="Footer Char"/>
    <w:basedOn w:val="954"/>
    <w:link w:val="979"/>
    <w:uiPriority w:val="99"/>
  </w:style>
  <w:style w:type="paragraph" w:styleId="812">
    <w:name w:val="Caption"/>
    <w:basedOn w:val="944"/>
    <w:next w:val="944"/>
    <w:uiPriority w:val="35"/>
    <w:semiHidden/>
    <w:unhideWhenUsed/>
    <w:qFormat/>
    <w:pPr>
      <w:spacing w:line="276" w:lineRule="auto"/>
    </w:pPr>
    <w:rPr>
      <w:b/>
      <w:bCs/>
      <w:color w:val="4f81bd" w:themeColor="accent1"/>
      <w:sz w:val="18"/>
      <w:szCs w:val="18"/>
    </w:rPr>
  </w:style>
  <w:style w:type="character" w:styleId="813">
    <w:name w:val="Caption Char"/>
    <w:basedOn w:val="812"/>
    <w:link w:val="979"/>
    <w:uiPriority w:val="99"/>
  </w:style>
  <w:style w:type="table" w:styleId="814">
    <w:name w:val="Table Grid Light"/>
    <w:basedOn w:val="9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5">
    <w:name w:val="Plain Table 1"/>
    <w:basedOn w:val="9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2"/>
    <w:basedOn w:val="9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basedOn w:val="9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basedOn w:val="9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basedOn w:val="9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basedOn w:val="9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1 Light - Accent 1"/>
    <w:basedOn w:val="9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2">
    <w:name w:val="Grid Table 1 Light - Accent 2"/>
    <w:basedOn w:val="9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3">
    <w:name w:val="Grid Table 1 Light - Accent 3"/>
    <w:basedOn w:val="9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4">
    <w:name w:val="Grid Table 1 Light - Accent 4"/>
    <w:basedOn w:val="9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5">
    <w:name w:val="Grid Table 1 Light - Accent 5"/>
    <w:basedOn w:val="9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6">
    <w:name w:val="Grid Table 1 Light - Accent 6"/>
    <w:basedOn w:val="9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7">
    <w:name w:val="Grid Table 2"/>
    <w:basedOn w:val="9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2 - Accent 1"/>
    <w:basedOn w:val="9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9">
    <w:name w:val="Grid Table 2 - Accent 2"/>
    <w:basedOn w:val="9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2 - Accent 3"/>
    <w:basedOn w:val="9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2 - Accent 4"/>
    <w:basedOn w:val="9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2 - Accent 5"/>
    <w:basedOn w:val="9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3">
    <w:name w:val="Grid Table 2 - Accent 6"/>
    <w:basedOn w:val="9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4">
    <w:name w:val="Grid Table 3"/>
    <w:basedOn w:val="9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1"/>
    <w:basedOn w:val="9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2"/>
    <w:basedOn w:val="9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3"/>
    <w:basedOn w:val="9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4"/>
    <w:basedOn w:val="9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5"/>
    <w:basedOn w:val="9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6"/>
    <w:basedOn w:val="9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4"/>
    <w:basedOn w:val="9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name w:val="Grid Table 4 - Accent 1"/>
    <w:basedOn w:val="9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3">
    <w:name w:val="Grid Table 4 - Accent 2"/>
    <w:basedOn w:val="9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4">
    <w:name w:val="Grid Table 4 - Accent 3"/>
    <w:basedOn w:val="9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5">
    <w:name w:val="Grid Table 4 - Accent 4"/>
    <w:basedOn w:val="9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6">
    <w:name w:val="Grid Table 4 - Accent 5"/>
    <w:basedOn w:val="9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7">
    <w:name w:val="Grid Table 4 - Accent 6"/>
    <w:basedOn w:val="9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8">
    <w:name w:val="Grid Table 5 Dark"/>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5 Dark- Accent 1"/>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0">
    <w:name w:val="Grid Table 5 Dark - Accent 2"/>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1">
    <w:name w:val="Grid Table 5 Dark - Accent 3"/>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2">
    <w:name w:val="Grid Table 5 Dark- Accent 4"/>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3">
    <w:name w:val="Grid Table 5 Dark - Accent 5"/>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4">
    <w:name w:val="Grid Table 5 Dark - Accent 6"/>
    <w:basedOn w:val="9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5">
    <w:name w:val="Grid Table 6 Colorful"/>
    <w:basedOn w:val="9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6">
    <w:name w:val="Grid Table 6 Colorful - Accent 1"/>
    <w:basedOn w:val="9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7">
    <w:name w:val="Grid Table 6 Colorful - Accent 2"/>
    <w:basedOn w:val="9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8">
    <w:name w:val="Grid Table 6 Colorful - Accent 3"/>
    <w:basedOn w:val="9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9">
    <w:name w:val="Grid Table 6 Colorful - Accent 4"/>
    <w:basedOn w:val="9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0">
    <w:name w:val="Grid Table 6 Colorful - Accent 5"/>
    <w:basedOn w:val="9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1">
    <w:name w:val="Grid Table 6 Colorful - Accent 6"/>
    <w:basedOn w:val="9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7 Colorful"/>
    <w:basedOn w:val="9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3">
    <w:name w:val="Grid Table 7 Colorful - Accent 1"/>
    <w:basedOn w:val="9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4">
    <w:name w:val="Grid Table 7 Colorful - Accent 2"/>
    <w:basedOn w:val="9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7 Colorful - Accent 3"/>
    <w:basedOn w:val="9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7 Colorful - Accent 4"/>
    <w:basedOn w:val="9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7 Colorful - Accent 5"/>
    <w:basedOn w:val="9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8">
    <w:name w:val="Grid Table 7 Colorful - Accent 6"/>
    <w:basedOn w:val="9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9">
    <w:name w:val="List Table 1 Light"/>
    <w:basedOn w:val="9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name w:val="List Table 1 Light - Accent 1"/>
    <w:basedOn w:val="9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1">
    <w:name w:val="List Table 1 Light - Accent 2"/>
    <w:basedOn w:val="9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2">
    <w:name w:val="List Table 1 Light - Accent 3"/>
    <w:basedOn w:val="9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3">
    <w:name w:val="List Table 1 Light - Accent 4"/>
    <w:basedOn w:val="9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4">
    <w:name w:val="List Table 1 Light - Accent 5"/>
    <w:basedOn w:val="9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5">
    <w:name w:val="List Table 1 Light - Accent 6"/>
    <w:basedOn w:val="9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6">
    <w:name w:val="List Table 2"/>
    <w:basedOn w:val="9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2 - Accent 1"/>
    <w:basedOn w:val="9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8">
    <w:name w:val="List Table 2 - Accent 2"/>
    <w:basedOn w:val="9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9">
    <w:name w:val="List Table 2 - Accent 3"/>
    <w:basedOn w:val="9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0">
    <w:name w:val="List Table 2 - Accent 4"/>
    <w:basedOn w:val="9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1">
    <w:name w:val="List Table 2 - Accent 5"/>
    <w:basedOn w:val="9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2">
    <w:name w:val="List Table 2 - Accent 6"/>
    <w:basedOn w:val="9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3">
    <w:name w:val="List Table 3"/>
    <w:basedOn w:val="9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3 - Accent 1"/>
    <w:basedOn w:val="9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3 - Accent 2"/>
    <w:basedOn w:val="9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6">
    <w:name w:val="List Table 3 - Accent 3"/>
    <w:basedOn w:val="9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7">
    <w:name w:val="List Table 3 - Accent 4"/>
    <w:basedOn w:val="9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8">
    <w:name w:val="List Table 3 - Accent 5"/>
    <w:basedOn w:val="9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9">
    <w:name w:val="List Table 3 - Accent 6"/>
    <w:basedOn w:val="9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0">
    <w:name w:val="List Table 4"/>
    <w:basedOn w:val="9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4 - Accent 1"/>
    <w:basedOn w:val="9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4 - Accent 2"/>
    <w:basedOn w:val="9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3">
    <w:name w:val="List Table 4 - Accent 3"/>
    <w:basedOn w:val="9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4">
    <w:name w:val="List Table 4 - Accent 4"/>
    <w:basedOn w:val="9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5">
    <w:name w:val="List Table 4 - Accent 5"/>
    <w:basedOn w:val="9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6">
    <w:name w:val="List Table 4 - Accent 6"/>
    <w:basedOn w:val="9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7">
    <w:name w:val="List Table 5 Dark"/>
    <w:basedOn w:val="9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1"/>
    <w:basedOn w:val="9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2"/>
    <w:basedOn w:val="9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3"/>
    <w:basedOn w:val="9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4"/>
    <w:basedOn w:val="9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5"/>
    <w:basedOn w:val="9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6"/>
    <w:basedOn w:val="9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basedOn w:val="9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6 Colorful - Accent 1"/>
    <w:basedOn w:val="9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6">
    <w:name w:val="List Table 6 Colorful - Accent 2"/>
    <w:basedOn w:val="9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7">
    <w:name w:val="List Table 6 Colorful - Accent 3"/>
    <w:basedOn w:val="9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8">
    <w:name w:val="List Table 6 Colorful - Accent 4"/>
    <w:basedOn w:val="9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9">
    <w:name w:val="List Table 6 Colorful - Accent 5"/>
    <w:basedOn w:val="9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0">
    <w:name w:val="List Table 6 Colorful - Accent 6"/>
    <w:basedOn w:val="9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1">
    <w:name w:val="List Table 7 Colorful"/>
    <w:basedOn w:val="9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2">
    <w:name w:val="List Table 7 Colorful - Accent 1"/>
    <w:basedOn w:val="9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3">
    <w:name w:val="List Table 7 Colorful - Accent 2"/>
    <w:basedOn w:val="9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4">
    <w:name w:val="List Table 7 Colorful - Accent 3"/>
    <w:basedOn w:val="9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5">
    <w:name w:val="List Table 7 Colorful - Accent 4"/>
    <w:basedOn w:val="9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6">
    <w:name w:val="List Table 7 Colorful - Accent 5"/>
    <w:basedOn w:val="9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7">
    <w:name w:val="List Table 7 Colorful - Accent 6"/>
    <w:basedOn w:val="9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8">
    <w:name w:val="Lined - Accent"/>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Lined - Accent 1"/>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Lined - Accent 2"/>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Lined - Accent 3"/>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Lined - Accent 4"/>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Lined - Accent 5"/>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Lined - Accent 6"/>
    <w:basedOn w:val="9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amp; Lined - Accent"/>
    <w:basedOn w:val="9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Bordered &amp; Lined - Accent 1"/>
    <w:basedOn w:val="9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Bordered &amp; Lined - Accent 2"/>
    <w:basedOn w:val="9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Bordered &amp; Lined - Accent 3"/>
    <w:basedOn w:val="9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Bordered &amp; Lined - Accent 4"/>
    <w:basedOn w:val="9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Bordered &amp; Lined - Accent 5"/>
    <w:basedOn w:val="9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Bordered &amp; Lined - Accent 6"/>
    <w:basedOn w:val="9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w:basedOn w:val="9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3">
    <w:name w:val="Bordered - Accent 1"/>
    <w:basedOn w:val="9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4">
    <w:name w:val="Bordered - Accent 2"/>
    <w:basedOn w:val="9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5">
    <w:name w:val="Bordered - Accent 3"/>
    <w:basedOn w:val="9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6">
    <w:name w:val="Bordered - Accent 4"/>
    <w:basedOn w:val="9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7">
    <w:name w:val="Bordered - Accent 5"/>
    <w:basedOn w:val="9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8">
    <w:name w:val="Bordered - Accent 6"/>
    <w:basedOn w:val="9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9">
    <w:name w:val="Footnote Text Char"/>
    <w:link w:val="989"/>
    <w:uiPriority w:val="99"/>
    <w:rPr>
      <w:sz w:val="18"/>
    </w:rPr>
  </w:style>
  <w:style w:type="paragraph" w:styleId="940">
    <w:name w:val="endnote text"/>
    <w:basedOn w:val="944"/>
    <w:link w:val="941"/>
    <w:uiPriority w:val="99"/>
    <w:semiHidden/>
    <w:unhideWhenUsed/>
    <w:pPr>
      <w:spacing w:after="0" w:line="240" w:lineRule="auto"/>
    </w:pPr>
    <w:rPr>
      <w:sz w:val="20"/>
    </w:rPr>
  </w:style>
  <w:style w:type="character" w:styleId="941">
    <w:name w:val="Endnote Text Char"/>
    <w:link w:val="940"/>
    <w:uiPriority w:val="99"/>
    <w:rPr>
      <w:sz w:val="20"/>
    </w:rPr>
  </w:style>
  <w:style w:type="character" w:styleId="942">
    <w:name w:val="endnote reference"/>
    <w:basedOn w:val="954"/>
    <w:uiPriority w:val="99"/>
    <w:semiHidden/>
    <w:unhideWhenUsed/>
    <w:rPr>
      <w:vertAlign w:val="superscript"/>
    </w:rPr>
  </w:style>
  <w:style w:type="paragraph" w:styleId="943">
    <w:name w:val="TOC Heading"/>
    <w:uiPriority w:val="39"/>
    <w:unhideWhenUsed/>
  </w:style>
  <w:style w:type="paragraph" w:styleId="944" w:default="1">
    <w:name w:val="Normal"/>
    <w:next w:val="956"/>
    <w:uiPriority w:val="0"/>
    <w:qFormat/>
    <w:pPr>
      <w:jc w:val="both"/>
      <w:widowControl w:val="off"/>
    </w:pPr>
    <w:rPr>
      <w:rFonts w:ascii="Calibri" w:hAnsi="Calibri" w:eastAsia="宋体" w:cs="Times New Roman"/>
      <w:sz w:val="21"/>
      <w:szCs w:val="24"/>
      <w:lang w:val="en-US" w:eastAsia="zh-CN" w:bidi="ar-SA"/>
    </w:rPr>
  </w:style>
  <w:style w:type="paragraph" w:styleId="945">
    <w:name w:val="Heading 1"/>
    <w:basedOn w:val="947"/>
    <w:next w:val="944"/>
    <w:link w:val="1015"/>
    <w:uiPriority w:val="9"/>
    <w:qFormat/>
    <w:pPr>
      <w:spacing w:before="340" w:after="330" w:line="576" w:lineRule="auto"/>
      <w:outlineLvl w:val="0"/>
    </w:pPr>
    <w:rPr>
      <w:sz w:val="44"/>
      <w:szCs w:val="44"/>
    </w:rPr>
  </w:style>
  <w:style w:type="paragraph" w:styleId="946">
    <w:name w:val="Heading 2"/>
    <w:basedOn w:val="944"/>
    <w:next w:val="944"/>
    <w:link w:val="1016"/>
    <w:uiPriority w:val="0"/>
    <w:qFormat/>
    <w:pPr>
      <w:keepLines/>
      <w:keepNext/>
      <w:spacing w:before="260" w:after="260" w:line="415" w:lineRule="auto"/>
      <w:outlineLvl w:val="1"/>
    </w:pPr>
    <w:rPr>
      <w:rFonts w:ascii="Arial" w:hAnsi="Arial" w:eastAsia="黑体"/>
      <w:b/>
      <w:bCs/>
      <w:sz w:val="32"/>
      <w:szCs w:val="32"/>
    </w:rPr>
  </w:style>
  <w:style w:type="paragraph" w:styleId="947">
    <w:name w:val="Heading 3"/>
    <w:basedOn w:val="944"/>
    <w:next w:val="944"/>
    <w:link w:val="1155"/>
    <w:uiPriority w:val="9"/>
    <w:qFormat/>
    <w:pPr>
      <w:keepLines/>
      <w:keepNext/>
      <w:spacing w:before="260" w:after="260" w:line="415" w:lineRule="auto"/>
      <w:outlineLvl w:val="2"/>
    </w:pPr>
    <w:rPr>
      <w:b/>
      <w:bCs/>
      <w:sz w:val="32"/>
      <w:szCs w:val="32"/>
    </w:rPr>
  </w:style>
  <w:style w:type="paragraph" w:styleId="948">
    <w:name w:val="Heading 4"/>
    <w:basedOn w:val="944"/>
    <w:next w:val="944"/>
    <w:uiPriority w:val="0"/>
    <w:qFormat/>
    <w:pPr>
      <w:keepLines/>
      <w:keepNext/>
      <w:spacing w:before="280" w:after="290" w:line="376" w:lineRule="auto"/>
      <w:outlineLvl w:val="3"/>
    </w:pPr>
    <w:rPr>
      <w:rFonts w:ascii="Arial" w:hAnsi="Arial" w:eastAsia="黑体"/>
      <w:b/>
      <w:bCs/>
      <w:sz w:val="28"/>
      <w:szCs w:val="28"/>
    </w:rPr>
  </w:style>
  <w:style w:type="paragraph" w:styleId="949">
    <w:name w:val="Heading 5"/>
    <w:basedOn w:val="944"/>
    <w:next w:val="944"/>
    <w:link w:val="1017"/>
    <w:uiPriority w:val="0"/>
    <w:qFormat/>
    <w:pPr>
      <w:jc w:val="left"/>
      <w:keepLines/>
      <w:keepNext/>
      <w:spacing w:before="280" w:after="290" w:line="376" w:lineRule="atLeast"/>
      <w:outlineLvl w:val="4"/>
    </w:pPr>
    <w:rPr>
      <w:rFonts w:ascii="宋体" w:hAnsi="Tms Rmn"/>
      <w:b/>
      <w:sz w:val="28"/>
      <w:szCs w:val="20"/>
    </w:rPr>
  </w:style>
  <w:style w:type="paragraph" w:styleId="950">
    <w:name w:val="Heading 6"/>
    <w:basedOn w:val="944"/>
    <w:next w:val="944"/>
    <w:link w:val="1018"/>
    <w:uiPriority w:val="0"/>
    <w:qFormat/>
    <w:pPr>
      <w:jc w:val="left"/>
      <w:keepLines/>
      <w:keepNext/>
      <w:spacing w:before="240" w:after="64" w:line="320" w:lineRule="atLeast"/>
      <w:outlineLvl w:val="5"/>
    </w:pPr>
    <w:rPr>
      <w:rFonts w:ascii="黑体" w:hAnsi="Tms Rmn" w:eastAsia="黑体"/>
      <w:b/>
      <w:sz w:val="24"/>
      <w:szCs w:val="20"/>
    </w:rPr>
  </w:style>
  <w:style w:type="paragraph" w:styleId="951">
    <w:name w:val="Heading 7"/>
    <w:basedOn w:val="944"/>
    <w:next w:val="944"/>
    <w:link w:val="1019"/>
    <w:uiPriority w:val="0"/>
    <w:qFormat/>
    <w:pPr>
      <w:jc w:val="left"/>
      <w:keepLines/>
      <w:keepNext/>
      <w:spacing w:before="240" w:after="64" w:line="320" w:lineRule="atLeast"/>
      <w:outlineLvl w:val="6"/>
    </w:pPr>
    <w:rPr>
      <w:rFonts w:ascii="宋体" w:hAnsi="Tms Rmn"/>
      <w:b/>
      <w:sz w:val="24"/>
      <w:szCs w:val="20"/>
    </w:rPr>
  </w:style>
  <w:style w:type="paragraph" w:styleId="952">
    <w:name w:val="Heading 8"/>
    <w:basedOn w:val="944"/>
    <w:next w:val="944"/>
    <w:link w:val="1020"/>
    <w:uiPriority w:val="0"/>
    <w:qFormat/>
    <w:pPr>
      <w:keepLines/>
      <w:keepNext/>
      <w:spacing w:before="240" w:after="64" w:line="320" w:lineRule="auto"/>
      <w:outlineLvl w:val="7"/>
    </w:pPr>
    <w:rPr>
      <w:rFonts w:ascii="Arial" w:hAnsi="Arial" w:eastAsia="黑体"/>
      <w:sz w:val="24"/>
    </w:rPr>
  </w:style>
  <w:style w:type="paragraph" w:styleId="953">
    <w:name w:val="Heading 9"/>
    <w:basedOn w:val="944"/>
    <w:next w:val="944"/>
    <w:link w:val="1021"/>
    <w:uiPriority w:val="0"/>
    <w:qFormat/>
    <w:pPr>
      <w:keepLines/>
      <w:keepNext/>
      <w:spacing w:before="240" w:after="64" w:line="320" w:lineRule="auto"/>
      <w:outlineLvl w:val="8"/>
    </w:pPr>
    <w:rPr>
      <w:rFonts w:ascii="Arial" w:hAnsi="Arial" w:eastAsia="黑体"/>
      <w:szCs w:val="21"/>
    </w:rPr>
  </w:style>
  <w:style w:type="character" w:styleId="954" w:default="1">
    <w:name w:val="Default Paragraph Font"/>
    <w:uiPriority w:val="1"/>
    <w:semiHidden/>
    <w:unhideWhenUsed/>
    <w:qFormat/>
  </w:style>
  <w:style w:type="table" w:styleId="955" w:default="1">
    <w:name w:val="Normal Table"/>
    <w:uiPriority w:val="99"/>
    <w:semiHidden/>
    <w:unhideWhenUsed/>
    <w:qFormat/>
    <w:tblPr>
      <w:tblLayout w:type="fixed"/>
      <w:tblCellMar>
        <w:left w:w="108" w:type="dxa"/>
        <w:top w:w="0" w:type="dxa"/>
        <w:right w:w="108" w:type="dxa"/>
        <w:bottom w:w="0" w:type="dxa"/>
      </w:tblCellMar>
    </w:tblPr>
  </w:style>
  <w:style w:type="paragraph" w:styleId="956">
    <w:name w:val="Body Text"/>
    <w:basedOn w:val="944"/>
    <w:link w:val="1024"/>
    <w:uiPriority w:val="99"/>
    <w:qFormat/>
    <w:pPr>
      <w:tabs>
        <w:tab w:val="left" w:pos="5250" w:leader="none"/>
      </w:tabs>
    </w:pPr>
    <w:rPr>
      <w:sz w:val="28"/>
    </w:rPr>
  </w:style>
  <w:style w:type="paragraph" w:styleId="957">
    <w:name w:val="annotation subject"/>
    <w:basedOn w:val="958"/>
    <w:next w:val="958"/>
    <w:link w:val="1154"/>
    <w:uiPriority w:val="99"/>
    <w:qFormat/>
    <w:rPr>
      <w:b/>
      <w:bCs/>
    </w:rPr>
  </w:style>
  <w:style w:type="paragraph" w:styleId="958">
    <w:name w:val="annotation text"/>
    <w:basedOn w:val="944"/>
    <w:link w:val="1023"/>
    <w:uiPriority w:val="99"/>
    <w:qFormat/>
    <w:pPr>
      <w:jc w:val="left"/>
    </w:pPr>
  </w:style>
  <w:style w:type="paragraph" w:styleId="959">
    <w:name w:val="toc 7"/>
    <w:basedOn w:val="944"/>
    <w:next w:val="944"/>
    <w:uiPriority w:val="0"/>
    <w:qFormat/>
    <w:pPr>
      <w:ind w:left="2520"/>
    </w:pPr>
    <w:rPr>
      <w:rFonts w:eastAsia="楷体_GB2312"/>
      <w:sz w:val="26"/>
      <w:szCs w:val="20"/>
    </w:rPr>
  </w:style>
  <w:style w:type="paragraph" w:styleId="960">
    <w:name w:val="Body Text First Indent"/>
    <w:basedOn w:val="956"/>
    <w:link w:val="1032"/>
    <w:uiPriority w:val="0"/>
    <w:qFormat/>
    <w:pPr>
      <w:ind w:firstLine="420"/>
      <w:spacing w:after="120"/>
    </w:pPr>
    <w:rPr>
      <w:rFonts w:eastAsia="楷体_GB2312"/>
      <w:sz w:val="26"/>
      <w:szCs w:val="20"/>
    </w:rPr>
  </w:style>
  <w:style w:type="paragraph" w:styleId="961">
    <w:name w:val="index 8"/>
    <w:basedOn w:val="944"/>
    <w:next w:val="944"/>
    <w:uiPriority w:val="0"/>
    <w:qFormat/>
    <w:pPr>
      <w:ind w:left="2940"/>
    </w:pPr>
    <w:rPr>
      <w:rFonts w:eastAsia="楷体_GB2312"/>
      <w:sz w:val="26"/>
      <w:szCs w:val="20"/>
    </w:rPr>
  </w:style>
  <w:style w:type="paragraph" w:styleId="962">
    <w:name w:val="List Number"/>
    <w:basedOn w:val="944"/>
    <w:uiPriority w:val="0"/>
    <w:qFormat/>
    <w:pPr>
      <w:ind w:left="1125" w:hanging="555"/>
      <w:tabs>
        <w:tab w:val="left" w:pos="1125" w:leader="none"/>
      </w:tabs>
    </w:pPr>
  </w:style>
  <w:style w:type="paragraph" w:styleId="963">
    <w:name w:val="Normal Indent"/>
    <w:basedOn w:val="944"/>
    <w:next w:val="944"/>
    <w:link w:val="1022"/>
    <w:uiPriority w:val="0"/>
    <w:qFormat/>
    <w:pPr>
      <w:ind w:firstLine="420"/>
      <w:jc w:val="left"/>
    </w:pPr>
    <w:rPr>
      <w:rFonts w:eastAsia="楷体_GB2312"/>
      <w:sz w:val="24"/>
      <w:szCs w:val="20"/>
    </w:rPr>
  </w:style>
  <w:style w:type="paragraph" w:styleId="964">
    <w:name w:val="index 5"/>
    <w:basedOn w:val="944"/>
    <w:next w:val="944"/>
    <w:uiPriority w:val="0"/>
    <w:qFormat/>
    <w:pPr>
      <w:ind w:left="1680"/>
    </w:pPr>
    <w:rPr>
      <w:rFonts w:eastAsia="楷体_GB2312"/>
      <w:sz w:val="26"/>
      <w:szCs w:val="20"/>
    </w:rPr>
  </w:style>
  <w:style w:type="paragraph" w:styleId="965">
    <w:name w:val="Document Map"/>
    <w:basedOn w:val="944"/>
    <w:uiPriority w:val="0"/>
    <w:semiHidden/>
    <w:qFormat/>
    <w:pPr>
      <w:shd w:val="clear" w:color="auto" w:fill="000080"/>
    </w:pPr>
  </w:style>
  <w:style w:type="paragraph" w:styleId="966">
    <w:name w:val="index 6"/>
    <w:basedOn w:val="944"/>
    <w:next w:val="944"/>
    <w:uiPriority w:val="0"/>
    <w:qFormat/>
    <w:pPr>
      <w:ind w:left="2100"/>
    </w:pPr>
    <w:rPr>
      <w:rFonts w:eastAsia="楷体_GB2312"/>
      <w:sz w:val="26"/>
      <w:szCs w:val="20"/>
    </w:rPr>
  </w:style>
  <w:style w:type="paragraph" w:styleId="967">
    <w:name w:val="Body Text Indent"/>
    <w:basedOn w:val="944"/>
    <w:next w:val="944"/>
    <w:link w:val="1014"/>
    <w:uiPriority w:val="0"/>
    <w:qFormat/>
    <w:pPr>
      <w:ind w:firstLine="560"/>
      <w:jc w:val="left"/>
      <w:spacing w:line="300" w:lineRule="auto"/>
    </w:pPr>
    <w:rPr>
      <w:sz w:val="28"/>
    </w:rPr>
  </w:style>
  <w:style w:type="paragraph" w:styleId="968">
    <w:name w:val="List 2"/>
    <w:basedOn w:val="944"/>
    <w:uiPriority w:val="0"/>
    <w:qFormat/>
    <w:pPr>
      <w:ind w:left="840" w:hanging="420"/>
    </w:pPr>
  </w:style>
  <w:style w:type="paragraph" w:styleId="969">
    <w:name w:val="Block Text"/>
    <w:basedOn w:val="944"/>
    <w:uiPriority w:val="0"/>
    <w:qFormat/>
    <w:pPr>
      <w:ind w:left="630" w:right="-609" w:firstLine="420"/>
      <w:spacing w:line="360" w:lineRule="auto"/>
    </w:pPr>
    <w:rPr>
      <w:rFonts w:hint="eastAsia" w:ascii="仿宋_GB2312" w:eastAsia="仿宋_GB2312"/>
      <w:szCs w:val="20"/>
    </w:rPr>
  </w:style>
  <w:style w:type="paragraph" w:styleId="970">
    <w:name w:val="index 4"/>
    <w:basedOn w:val="944"/>
    <w:next w:val="944"/>
    <w:uiPriority w:val="0"/>
    <w:qFormat/>
    <w:pPr>
      <w:ind w:left="1260"/>
    </w:pPr>
    <w:rPr>
      <w:rFonts w:eastAsia="楷体_GB2312"/>
      <w:sz w:val="26"/>
      <w:szCs w:val="20"/>
    </w:rPr>
  </w:style>
  <w:style w:type="paragraph" w:styleId="971">
    <w:name w:val="toc 5"/>
    <w:basedOn w:val="944"/>
    <w:next w:val="944"/>
    <w:uiPriority w:val="0"/>
    <w:qFormat/>
    <w:pPr>
      <w:ind w:left="1680"/>
    </w:pPr>
    <w:rPr>
      <w:rFonts w:eastAsia="楷体_GB2312"/>
      <w:sz w:val="26"/>
      <w:szCs w:val="20"/>
    </w:rPr>
  </w:style>
  <w:style w:type="paragraph" w:styleId="972">
    <w:name w:val="toc 3"/>
    <w:basedOn w:val="944"/>
    <w:next w:val="944"/>
    <w:uiPriority w:val="39"/>
    <w:qFormat/>
    <w:pPr>
      <w:ind w:left="840"/>
    </w:pPr>
    <w:rPr>
      <w:szCs w:val="20"/>
    </w:rPr>
  </w:style>
  <w:style w:type="paragraph" w:styleId="973">
    <w:name w:val="Plain Text"/>
    <w:basedOn w:val="944"/>
    <w:link w:val="1025"/>
    <w:uiPriority w:val="0"/>
    <w:qFormat/>
    <w:rPr>
      <w:rFonts w:ascii="宋体" w:hAnsi="Courier New" w:eastAsia="楷体_GB2312"/>
      <w:sz w:val="28"/>
      <w:szCs w:val="20"/>
    </w:rPr>
  </w:style>
  <w:style w:type="paragraph" w:styleId="974">
    <w:name w:val="toc 8"/>
    <w:basedOn w:val="944"/>
    <w:next w:val="944"/>
    <w:uiPriority w:val="0"/>
    <w:qFormat/>
    <w:pPr>
      <w:ind w:left="2940"/>
    </w:pPr>
    <w:rPr>
      <w:rFonts w:eastAsia="楷体_GB2312"/>
      <w:sz w:val="26"/>
      <w:szCs w:val="20"/>
    </w:rPr>
  </w:style>
  <w:style w:type="paragraph" w:styleId="975">
    <w:name w:val="index 3"/>
    <w:basedOn w:val="944"/>
    <w:next w:val="944"/>
    <w:uiPriority w:val="0"/>
    <w:qFormat/>
    <w:pPr>
      <w:ind w:left="840"/>
    </w:pPr>
    <w:rPr>
      <w:rFonts w:eastAsia="楷体_GB2312"/>
      <w:sz w:val="26"/>
      <w:szCs w:val="20"/>
    </w:rPr>
  </w:style>
  <w:style w:type="paragraph" w:styleId="976">
    <w:name w:val="Date"/>
    <w:basedOn w:val="944"/>
    <w:next w:val="944"/>
    <w:link w:val="1026"/>
    <w:uiPriority w:val="99"/>
    <w:qFormat/>
    <w:rPr>
      <w:szCs w:val="20"/>
    </w:rPr>
  </w:style>
  <w:style w:type="paragraph" w:styleId="977">
    <w:name w:val="Body Text Indent 2"/>
    <w:basedOn w:val="944"/>
    <w:link w:val="1027"/>
    <w:uiPriority w:val="0"/>
    <w:qFormat/>
    <w:pPr>
      <w:ind w:left="840"/>
      <w:spacing w:line="360" w:lineRule="auto"/>
      <w:tabs>
        <w:tab w:val="left" w:pos="630" w:leader="none"/>
      </w:tabs>
    </w:pPr>
    <w:rPr>
      <w:rFonts w:ascii="宋体" w:hAnsi="宋体"/>
    </w:rPr>
  </w:style>
  <w:style w:type="paragraph" w:styleId="978">
    <w:name w:val="Balloon Text"/>
    <w:basedOn w:val="944"/>
    <w:link w:val="1159"/>
    <w:uiPriority w:val="99"/>
    <w:qFormat/>
    <w:rPr>
      <w:sz w:val="18"/>
      <w:szCs w:val="18"/>
    </w:rPr>
  </w:style>
  <w:style w:type="paragraph" w:styleId="979">
    <w:name w:val="Footer"/>
    <w:basedOn w:val="944"/>
    <w:next w:val="944"/>
    <w:link w:val="1147"/>
    <w:uiPriority w:val="99"/>
    <w:qFormat/>
    <w:pPr>
      <w:jc w:val="left"/>
      <w:tabs>
        <w:tab w:val="center" w:pos="4153" w:leader="none"/>
        <w:tab w:val="right" w:pos="8306" w:leader="none"/>
      </w:tabs>
    </w:pPr>
    <w:rPr>
      <w:sz w:val="18"/>
      <w:szCs w:val="18"/>
    </w:rPr>
  </w:style>
  <w:style w:type="paragraph" w:styleId="980">
    <w:name w:val="envelope return"/>
    <w:basedOn w:val="944"/>
    <w:uiPriority w:val="0"/>
    <w:qFormat/>
    <w:rPr>
      <w:rFonts w:ascii="Arial" w:hAnsi="Arial"/>
    </w:rPr>
  </w:style>
  <w:style w:type="paragraph" w:styleId="981">
    <w:name w:val="Body Text First Indent 2"/>
    <w:basedOn w:val="967"/>
    <w:next w:val="944"/>
    <w:uiPriority w:val="0"/>
    <w:qFormat/>
    <w:pPr>
      <w:ind w:left="420" w:firstLine="200"/>
      <w:spacing w:after="120" w:line="240" w:lineRule="auto"/>
    </w:pPr>
    <w:rPr>
      <w:rFonts w:ascii="Times New Roman" w:hAnsi="Times New Roman"/>
      <w:sz w:val="21"/>
      <w:szCs w:val="20"/>
    </w:rPr>
  </w:style>
  <w:style w:type="paragraph" w:styleId="982">
    <w:name w:val="Header"/>
    <w:basedOn w:val="944"/>
    <w:next w:val="956"/>
    <w:link w:val="1158"/>
    <w:uiPriority w:val="99"/>
    <w:qFormat/>
    <w:pPr>
      <w:jc w:val="center"/>
      <w:tabs>
        <w:tab w:val="center" w:pos="4153" w:leader="none"/>
        <w:tab w:val="right" w:pos="8306" w:leader="none"/>
      </w:tabs>
      <w:pBdr>
        <w:bottom w:val="single" w:color="auto" w:sz="6" w:space="1"/>
      </w:pBdr>
    </w:pPr>
    <w:rPr>
      <w:sz w:val="18"/>
      <w:szCs w:val="18"/>
    </w:rPr>
  </w:style>
  <w:style w:type="paragraph" w:styleId="983">
    <w:name w:val="toc 1"/>
    <w:basedOn w:val="944"/>
    <w:next w:val="944"/>
    <w:uiPriority w:val="39"/>
    <w:qFormat/>
    <w:pPr>
      <w:numPr>
        <w:ilvl w:val="0"/>
        <w:numId w:val="1"/>
      </w:numPr>
      <w:ind w:left="567" w:hanging="567"/>
      <w:spacing w:line="400" w:lineRule="exact"/>
      <w:tabs>
        <w:tab w:val="left" w:pos="567" w:leader="none"/>
      </w:tabs>
      <w:outlineLvl w:val="1"/>
    </w:pPr>
    <w:rPr>
      <w:rFonts w:ascii="宋体" w:hAnsi="宋体"/>
      <w:b/>
      <w:szCs w:val="21"/>
    </w:rPr>
  </w:style>
  <w:style w:type="paragraph" w:styleId="984">
    <w:name w:val="toc 4"/>
    <w:basedOn w:val="944"/>
    <w:next w:val="944"/>
    <w:uiPriority w:val="0"/>
    <w:qFormat/>
    <w:pPr>
      <w:ind w:left="1260"/>
    </w:pPr>
    <w:rPr>
      <w:rFonts w:eastAsia="楷体_GB2312"/>
      <w:sz w:val="26"/>
      <w:szCs w:val="20"/>
    </w:rPr>
  </w:style>
  <w:style w:type="paragraph" w:styleId="985">
    <w:name w:val="index heading"/>
    <w:basedOn w:val="944"/>
    <w:next w:val="986"/>
    <w:uiPriority w:val="0"/>
    <w:semiHidden/>
    <w:qFormat/>
    <w:rPr>
      <w:rFonts w:eastAsia="楷体_GB2312"/>
      <w:sz w:val="26"/>
      <w:szCs w:val="20"/>
    </w:rPr>
  </w:style>
  <w:style w:type="paragraph" w:styleId="986">
    <w:name w:val="index 1"/>
    <w:basedOn w:val="944"/>
    <w:next w:val="944"/>
    <w:uiPriority w:val="0"/>
    <w:semiHidden/>
    <w:qFormat/>
  </w:style>
  <w:style w:type="paragraph" w:styleId="987">
    <w:name w:val="Subtitle"/>
    <w:basedOn w:val="944"/>
    <w:next w:val="944"/>
    <w:uiPriority w:val="0"/>
    <w:qFormat/>
    <w:pPr>
      <w:jc w:val="left"/>
      <w:outlineLvl w:val="1"/>
    </w:pPr>
    <w:rPr>
      <w:rFonts w:ascii="Calibri Light" w:hAnsi="Calibri Light" w:eastAsia="仿宋"/>
      <w:b/>
      <w:bCs/>
      <w:sz w:val="28"/>
      <w:szCs w:val="32"/>
    </w:rPr>
  </w:style>
  <w:style w:type="paragraph" w:styleId="988">
    <w:name w:val="List"/>
    <w:basedOn w:val="944"/>
    <w:uiPriority w:val="0"/>
    <w:qFormat/>
    <w:pPr>
      <w:ind w:left="420" w:hanging="420"/>
    </w:pPr>
  </w:style>
  <w:style w:type="paragraph" w:styleId="989">
    <w:name w:val="footnote text"/>
    <w:basedOn w:val="944"/>
    <w:link w:val="1028"/>
    <w:uiPriority w:val="0"/>
    <w:qFormat/>
    <w:pPr>
      <w:jc w:val="left"/>
    </w:pPr>
    <w:rPr>
      <w:rFonts w:eastAsia="楷体_GB2312"/>
      <w:sz w:val="18"/>
      <w:szCs w:val="20"/>
    </w:rPr>
  </w:style>
  <w:style w:type="paragraph" w:styleId="990">
    <w:name w:val="toc 6"/>
    <w:basedOn w:val="944"/>
    <w:next w:val="944"/>
    <w:uiPriority w:val="39"/>
    <w:qFormat/>
    <w:pPr>
      <w:ind w:left="2100"/>
    </w:pPr>
    <w:rPr>
      <w:rFonts w:eastAsia="楷体_GB2312"/>
      <w:sz w:val="26"/>
      <w:szCs w:val="20"/>
    </w:rPr>
  </w:style>
  <w:style w:type="paragraph" w:styleId="991">
    <w:name w:val="Body Text Indent 3"/>
    <w:basedOn w:val="944"/>
    <w:uiPriority w:val="0"/>
    <w:qFormat/>
    <w:pPr>
      <w:ind w:firstLine="480"/>
      <w:spacing w:line="360" w:lineRule="auto"/>
      <w:widowControl/>
    </w:pPr>
    <w:rPr>
      <w:sz w:val="24"/>
    </w:rPr>
  </w:style>
  <w:style w:type="paragraph" w:styleId="992">
    <w:name w:val="index 7"/>
    <w:basedOn w:val="944"/>
    <w:next w:val="944"/>
    <w:uiPriority w:val="0"/>
    <w:qFormat/>
    <w:pPr>
      <w:ind w:left="2520"/>
    </w:pPr>
    <w:rPr>
      <w:rFonts w:eastAsia="楷体_GB2312"/>
      <w:sz w:val="26"/>
      <w:szCs w:val="20"/>
    </w:rPr>
  </w:style>
  <w:style w:type="paragraph" w:styleId="993">
    <w:name w:val="index 9"/>
    <w:basedOn w:val="944"/>
    <w:next w:val="944"/>
    <w:uiPriority w:val="0"/>
    <w:qFormat/>
    <w:pPr>
      <w:ind w:left="3360"/>
    </w:pPr>
    <w:rPr>
      <w:rFonts w:eastAsia="楷体_GB2312"/>
      <w:sz w:val="26"/>
      <w:szCs w:val="20"/>
    </w:rPr>
  </w:style>
  <w:style w:type="paragraph" w:styleId="994">
    <w:name w:val="table of figures"/>
    <w:basedOn w:val="944"/>
    <w:next w:val="944"/>
    <w:uiPriority w:val="0"/>
    <w:qFormat/>
    <w:pPr>
      <w:ind w:left="420" w:hanging="420"/>
      <w:jc w:val="left"/>
    </w:pPr>
    <w:rPr>
      <w:rFonts w:eastAsia="楷体_GB2312"/>
      <w:smallCaps/>
      <w:sz w:val="24"/>
      <w:szCs w:val="20"/>
    </w:rPr>
  </w:style>
  <w:style w:type="paragraph" w:styleId="995">
    <w:name w:val="toc 2"/>
    <w:basedOn w:val="944"/>
    <w:next w:val="944"/>
    <w:uiPriority w:val="39"/>
    <w:qFormat/>
    <w:pPr>
      <w:ind w:left="420"/>
      <w:spacing w:line="400" w:lineRule="exact"/>
      <w:tabs>
        <w:tab w:val="right" w:pos="9628" w:leader="dot"/>
      </w:tabs>
    </w:pPr>
    <w:rPr>
      <w:b/>
      <w:sz w:val="24"/>
      <w:szCs w:val="20"/>
    </w:rPr>
  </w:style>
  <w:style w:type="paragraph" w:styleId="996">
    <w:name w:val="toc 9"/>
    <w:basedOn w:val="944"/>
    <w:next w:val="944"/>
    <w:uiPriority w:val="0"/>
    <w:qFormat/>
    <w:pPr>
      <w:ind w:left="3360"/>
    </w:pPr>
    <w:rPr>
      <w:rFonts w:eastAsia="楷体_GB2312"/>
      <w:sz w:val="26"/>
      <w:szCs w:val="20"/>
    </w:rPr>
  </w:style>
  <w:style w:type="paragraph" w:styleId="997">
    <w:name w:val="Body Text 2"/>
    <w:basedOn w:val="944"/>
    <w:link w:val="1029"/>
    <w:uiPriority w:val="0"/>
    <w:qFormat/>
    <w:pPr>
      <w:spacing w:after="120" w:line="480" w:lineRule="auto"/>
    </w:pPr>
    <w:rPr>
      <w:rFonts w:eastAsia="楷体_GB2312"/>
      <w:sz w:val="26"/>
      <w:szCs w:val="20"/>
    </w:rPr>
  </w:style>
  <w:style w:type="paragraph" w:styleId="998">
    <w:name w:val="HTML Preformatted"/>
    <w:basedOn w:val="944"/>
    <w:link w:val="103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99">
    <w:name w:val="Normal (Web)"/>
    <w:basedOn w:val="944"/>
    <w:uiPriority w:val="0"/>
    <w:qFormat/>
    <w:pPr>
      <w:jc w:val="left"/>
      <w:spacing w:before="100" w:beforeAutospacing="1" w:after="100" w:afterAutospacing="1"/>
      <w:widowControl/>
    </w:pPr>
    <w:rPr>
      <w:rFonts w:ascii="Arial Unicode MS" w:hAnsi="Arial Unicode MS" w:eastAsia="Times New Roman"/>
      <w:sz w:val="24"/>
    </w:rPr>
  </w:style>
  <w:style w:type="paragraph" w:styleId="1000">
    <w:name w:val="index 2"/>
    <w:basedOn w:val="944"/>
    <w:next w:val="944"/>
    <w:uiPriority w:val="0"/>
    <w:qFormat/>
    <w:pPr>
      <w:ind w:left="420"/>
    </w:pPr>
    <w:rPr>
      <w:rFonts w:eastAsia="楷体_GB2312"/>
      <w:sz w:val="26"/>
      <w:szCs w:val="20"/>
    </w:rPr>
  </w:style>
  <w:style w:type="paragraph" w:styleId="1001">
    <w:name w:val="Title"/>
    <w:basedOn w:val="944"/>
    <w:next w:val="944"/>
    <w:link w:val="1031"/>
    <w:uiPriority w:val="0"/>
    <w:qFormat/>
    <w:pPr>
      <w:jc w:val="center"/>
      <w:spacing w:before="240" w:after="60"/>
      <w:outlineLvl w:val="0"/>
    </w:pPr>
    <w:rPr>
      <w:rFonts w:ascii="等线 Light" w:hAnsi="等线 Light"/>
      <w:b/>
      <w:bCs/>
      <w:sz w:val="32"/>
      <w:szCs w:val="32"/>
    </w:rPr>
  </w:style>
  <w:style w:type="character" w:styleId="1002">
    <w:name w:val="Strong"/>
    <w:uiPriority w:val="0"/>
    <w:qFormat/>
    <w:rPr>
      <w:b/>
      <w:bCs/>
    </w:rPr>
  </w:style>
  <w:style w:type="character" w:styleId="1003">
    <w:name w:val="page number"/>
    <w:basedOn w:val="954"/>
    <w:uiPriority w:val="0"/>
    <w:qFormat/>
  </w:style>
  <w:style w:type="character" w:styleId="1004">
    <w:name w:val="FollowedHyperlink"/>
    <w:uiPriority w:val="99"/>
    <w:qFormat/>
    <w:rPr>
      <w:color w:val="333333"/>
      <w:u w:val="none"/>
    </w:rPr>
  </w:style>
  <w:style w:type="character" w:styleId="1005">
    <w:name w:val="Emphasis"/>
    <w:uiPriority w:val="0"/>
    <w:qFormat/>
    <w:rPr>
      <w:color w:val="cc0000"/>
    </w:rPr>
  </w:style>
  <w:style w:type="character" w:styleId="1006">
    <w:name w:val="Hyperlink"/>
    <w:uiPriority w:val="99"/>
    <w:qFormat/>
    <w:rPr>
      <w:color w:val="333333"/>
      <w:u w:val="none"/>
    </w:rPr>
  </w:style>
  <w:style w:type="character" w:styleId="1007">
    <w:name w:val="annotation reference"/>
    <w:uiPriority w:val="0"/>
    <w:qFormat/>
    <w:rPr>
      <w:sz w:val="21"/>
      <w:szCs w:val="21"/>
    </w:rPr>
  </w:style>
  <w:style w:type="character" w:styleId="1008">
    <w:name w:val="footnote reference"/>
    <w:uiPriority w:val="0"/>
    <w:qFormat/>
    <w:rPr>
      <w:vertAlign w:val="superscript"/>
    </w:rPr>
  </w:style>
  <w:style w:type="table" w:styleId="1009">
    <w:name w:val="Table Grid"/>
    <w:basedOn w:val="95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010">
    <w:name w:val="Table Classic 4"/>
    <w:basedOn w:val="955"/>
    <w:uiPriority w:val="0"/>
    <w:qFormat/>
    <w:pPr>
      <w:jc w:val="both"/>
      <w:widowControl w:val="off"/>
    </w:pPr>
    <w:tblPr>
      <w:tblBorders>
        <w:top w:val="single" w:color="000000" w:sz="12" w:space="0"/>
        <w:left w:val="single" w:color="000000" w:sz="6" w:space="0"/>
        <w:bottom w:val="single" w:color="000000" w:sz="12" w:space="0"/>
        <w:right w:val="single" w:color="000000" w:sz="6" w:space="0"/>
      </w:tblBorders>
      <w:tblLayout w:type="fixed"/>
    </w:tbl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pct50" w:color="00008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lastRow">
      <w:rPr>
        <w:color w:val="000080"/>
      </w:rPr>
      <w:tcPr>
        <w:shd w:val="pct50" w:color="00000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n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11" w:customStyle="1">
    <w:name w:val="首行缩进"/>
    <w:basedOn w:val="944"/>
    <w:uiPriority w:val="0"/>
    <w:qFormat/>
    <w:pPr>
      <w:ind w:firstLine="480"/>
      <w:jc w:val="left"/>
      <w:spacing w:line="360" w:lineRule="auto"/>
    </w:pPr>
    <w:rPr>
      <w:rFonts w:ascii="宋体" w:hAnsi="宋体"/>
      <w:sz w:val="24"/>
    </w:rPr>
  </w:style>
  <w:style w:type="paragraph" w:styleId="1012" w:customStyle="1">
    <w:name w:val="段"/>
    <w:next w:val="944"/>
    <w:uiPriority w:val="0"/>
    <w:qFormat/>
    <w:pPr>
      <w:jc w:val="both"/>
      <w:spacing w:line="360" w:lineRule="auto"/>
    </w:pPr>
    <w:rPr>
      <w:rFonts w:ascii="宋体" w:hAnsi="宋体" w:eastAsia="宋体" w:cs="Times New Roman"/>
      <w:sz w:val="24"/>
      <w:szCs w:val="22"/>
      <w:lang w:val="en-US" w:eastAsia="zh-CN" w:bidi="ar-SA"/>
    </w:rPr>
  </w:style>
  <w:style w:type="paragraph" w:styleId="1013"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014" w:customStyle="1">
    <w:name w:val="正文文本缩进 字符"/>
    <w:link w:val="967"/>
    <w:uiPriority w:val="0"/>
    <w:qFormat/>
    <w:rPr>
      <w:sz w:val="28"/>
      <w:szCs w:val="24"/>
    </w:rPr>
  </w:style>
  <w:style w:type="character" w:styleId="1015" w:customStyle="1">
    <w:name w:val="标题 1 字符1"/>
    <w:link w:val="945"/>
    <w:uiPriority w:val="0"/>
    <w:qFormat/>
    <w:rPr>
      <w:b/>
      <w:bCs/>
      <w:sz w:val="44"/>
      <w:szCs w:val="44"/>
    </w:rPr>
  </w:style>
  <w:style w:type="character" w:styleId="1016" w:customStyle="1">
    <w:name w:val="标题 2 字符"/>
    <w:link w:val="946"/>
    <w:uiPriority w:val="0"/>
    <w:qFormat/>
    <w:rPr>
      <w:rFonts w:ascii="Arial" w:hAnsi="Arial" w:eastAsia="黑体"/>
      <w:b/>
      <w:bCs/>
      <w:sz w:val="32"/>
      <w:szCs w:val="32"/>
    </w:rPr>
  </w:style>
  <w:style w:type="character" w:styleId="1017" w:customStyle="1">
    <w:name w:val="标题 5 字符"/>
    <w:link w:val="949"/>
    <w:uiPriority w:val="0"/>
    <w:qFormat/>
    <w:rPr>
      <w:rFonts w:ascii="宋体" w:hAnsi="Tms Rmn"/>
      <w:b/>
      <w:sz w:val="28"/>
    </w:rPr>
  </w:style>
  <w:style w:type="character" w:styleId="1018" w:customStyle="1">
    <w:name w:val="标题 6 字符"/>
    <w:link w:val="950"/>
    <w:uiPriority w:val="0"/>
    <w:qFormat/>
    <w:rPr>
      <w:rFonts w:ascii="黑体" w:hAnsi="Tms Rmn" w:eastAsia="黑体"/>
      <w:b/>
      <w:sz w:val="24"/>
    </w:rPr>
  </w:style>
  <w:style w:type="character" w:styleId="1019" w:customStyle="1">
    <w:name w:val="标题 7 字符"/>
    <w:link w:val="951"/>
    <w:uiPriority w:val="0"/>
    <w:qFormat/>
    <w:rPr>
      <w:rFonts w:ascii="宋体" w:hAnsi="Tms Rmn"/>
      <w:b/>
      <w:sz w:val="24"/>
    </w:rPr>
  </w:style>
  <w:style w:type="character" w:styleId="1020" w:customStyle="1">
    <w:name w:val="标题 8 字符"/>
    <w:link w:val="952"/>
    <w:uiPriority w:val="0"/>
    <w:qFormat/>
    <w:rPr>
      <w:rFonts w:ascii="Arial" w:hAnsi="Arial" w:eastAsia="黑体"/>
      <w:sz w:val="24"/>
      <w:szCs w:val="24"/>
    </w:rPr>
  </w:style>
  <w:style w:type="character" w:styleId="1021" w:customStyle="1">
    <w:name w:val="标题 9 字符"/>
    <w:link w:val="953"/>
    <w:uiPriority w:val="0"/>
    <w:qFormat/>
    <w:rPr>
      <w:rFonts w:ascii="Arial" w:hAnsi="Arial" w:eastAsia="黑体"/>
      <w:sz w:val="21"/>
      <w:szCs w:val="21"/>
    </w:rPr>
  </w:style>
  <w:style w:type="character" w:styleId="1022" w:customStyle="1">
    <w:name w:val="正文缩进 字符1"/>
    <w:link w:val="963"/>
    <w:uiPriority w:val="0"/>
    <w:qFormat/>
    <w:rPr>
      <w:rFonts w:eastAsia="楷体_GB2312"/>
      <w:sz w:val="24"/>
      <w:lang w:val="en-US" w:eastAsia="zh-CN" w:bidi="ar-SA"/>
    </w:rPr>
  </w:style>
  <w:style w:type="character" w:styleId="1023" w:customStyle="1">
    <w:name w:val="批注文字 字符1"/>
    <w:link w:val="958"/>
    <w:uiPriority w:val="99"/>
    <w:qFormat/>
    <w:rPr>
      <w:sz w:val="21"/>
      <w:szCs w:val="24"/>
    </w:rPr>
  </w:style>
  <w:style w:type="character" w:styleId="1024" w:customStyle="1">
    <w:name w:val="正文文本 字符"/>
    <w:link w:val="956"/>
    <w:uiPriority w:val="99"/>
    <w:qFormat/>
    <w:rPr>
      <w:sz w:val="28"/>
      <w:szCs w:val="24"/>
    </w:rPr>
  </w:style>
  <w:style w:type="character" w:styleId="1025" w:customStyle="1">
    <w:name w:val="纯文本 字符"/>
    <w:link w:val="973"/>
    <w:uiPriority w:val="0"/>
    <w:qFormat/>
    <w:rPr>
      <w:rFonts w:ascii="宋体" w:hAnsi="Courier New" w:eastAsia="楷体_GB2312"/>
      <w:sz w:val="28"/>
    </w:rPr>
  </w:style>
  <w:style w:type="character" w:styleId="1026" w:customStyle="1">
    <w:name w:val="日期 字符"/>
    <w:link w:val="976"/>
    <w:uiPriority w:val="99"/>
    <w:qFormat/>
    <w:rPr>
      <w:sz w:val="21"/>
    </w:rPr>
  </w:style>
  <w:style w:type="character" w:styleId="1027" w:customStyle="1">
    <w:name w:val="正文文本缩进 2 字符"/>
    <w:link w:val="977"/>
    <w:uiPriority w:val="0"/>
    <w:qFormat/>
    <w:rPr>
      <w:rFonts w:ascii="宋体" w:hAnsi="宋体"/>
      <w:sz w:val="21"/>
      <w:szCs w:val="24"/>
    </w:rPr>
  </w:style>
  <w:style w:type="character" w:styleId="1028" w:customStyle="1">
    <w:name w:val="脚注文本 字符"/>
    <w:link w:val="989"/>
    <w:uiPriority w:val="0"/>
    <w:qFormat/>
    <w:rPr>
      <w:rFonts w:eastAsia="楷体_GB2312"/>
      <w:sz w:val="18"/>
    </w:rPr>
  </w:style>
  <w:style w:type="character" w:styleId="1029" w:customStyle="1">
    <w:name w:val="正文文本 2 字符"/>
    <w:link w:val="997"/>
    <w:uiPriority w:val="0"/>
    <w:qFormat/>
    <w:rPr>
      <w:rFonts w:eastAsia="楷体_GB2312"/>
      <w:sz w:val="26"/>
    </w:rPr>
  </w:style>
  <w:style w:type="character" w:styleId="1030" w:customStyle="1">
    <w:name w:val="HTML 预设格式 字符"/>
    <w:link w:val="998"/>
    <w:uiPriority w:val="99"/>
    <w:qFormat/>
    <w:rPr>
      <w:rFonts w:ascii="宋体" w:hAnsi="宋体" w:cs="宋体"/>
      <w:sz w:val="24"/>
      <w:szCs w:val="24"/>
    </w:rPr>
  </w:style>
  <w:style w:type="character" w:styleId="1031" w:customStyle="1">
    <w:name w:val="标题 字符"/>
    <w:link w:val="1001"/>
    <w:uiPriority w:val="0"/>
    <w:qFormat/>
    <w:rPr>
      <w:rFonts w:ascii="等线 Light" w:hAnsi="等线 Light"/>
      <w:b/>
      <w:bCs/>
      <w:sz w:val="32"/>
      <w:szCs w:val="32"/>
    </w:rPr>
  </w:style>
  <w:style w:type="character" w:styleId="1032" w:customStyle="1">
    <w:name w:val="正文文本首行缩进 字符"/>
    <w:link w:val="960"/>
    <w:uiPriority w:val="0"/>
    <w:qFormat/>
    <w:rPr>
      <w:rFonts w:eastAsia="楷体_GB2312"/>
      <w:sz w:val="26"/>
      <w:szCs w:val="24"/>
    </w:rPr>
  </w:style>
  <w:style w:type="character" w:styleId="1033" w:customStyle="1">
    <w:name w:val="正文缩进 字符"/>
    <w:uiPriority w:val="0"/>
    <w:qFormat/>
    <w:rPr>
      <w:rFonts w:eastAsia="楷体_GB2312"/>
      <w:sz w:val="24"/>
      <w:lang w:val="en-US" w:eastAsia="zh-CN" w:bidi="ar-SA"/>
    </w:rPr>
  </w:style>
  <w:style w:type="character" w:styleId="1034" w:customStyle="1">
    <w:name w:val="Char Char4"/>
    <w:uiPriority w:val="0"/>
    <w:qFormat/>
    <w:rPr>
      <w:b/>
      <w:bCs/>
      <w:sz w:val="21"/>
      <w:szCs w:val="24"/>
    </w:rPr>
  </w:style>
  <w:style w:type="character" w:styleId="1035" w:customStyle="1">
    <w:name w:val="Char Char"/>
    <w:uiPriority w:val="0"/>
    <w:qFormat/>
    <w:rPr>
      <w:sz w:val="18"/>
      <w:szCs w:val="18"/>
    </w:rPr>
  </w:style>
  <w:style w:type="character" w:styleId="1036" w:customStyle="1">
    <w:name w:val="Andy_2级 Char"/>
    <w:link w:val="1037"/>
    <w:uiPriority w:val="0"/>
    <w:qFormat/>
    <w:rPr>
      <w:rFonts w:ascii="Calibri" w:hAnsi="Calibri"/>
      <w:sz w:val="24"/>
    </w:rPr>
  </w:style>
  <w:style w:type="paragraph" w:styleId="1037" w:customStyle="1">
    <w:name w:val="Andy_2级"/>
    <w:basedOn w:val="1038"/>
    <w:link w:val="1036"/>
    <w:uiPriority w:val="0"/>
    <w:qFormat/>
    <w:pPr>
      <w:ind w:firstLine="510"/>
    </w:pPr>
    <w:rPr>
      <w:szCs w:val="20"/>
    </w:rPr>
  </w:style>
  <w:style w:type="paragraph" w:styleId="1038" w:customStyle="1">
    <w:name w:val="Andy_二级"/>
    <w:basedOn w:val="944"/>
    <w:uiPriority w:val="0"/>
    <w:qFormat/>
    <w:pPr>
      <w:numPr>
        <w:ilvl w:val="1"/>
        <w:numId w:val="2"/>
      </w:numPr>
      <w:ind w:left="0" w:firstLine="0"/>
      <w:spacing w:line="360" w:lineRule="auto"/>
    </w:pPr>
    <w:rPr>
      <w:sz w:val="24"/>
      <w:szCs w:val="22"/>
    </w:rPr>
  </w:style>
  <w:style w:type="character" w:styleId="1039" w:customStyle="1">
    <w:name w:val="批注文字 Char"/>
    <w:uiPriority w:val="0"/>
    <w:qFormat/>
    <w:rPr>
      <w:rFonts w:eastAsia="楷体_GB2312"/>
      <w:sz w:val="26"/>
    </w:rPr>
  </w:style>
  <w:style w:type="character" w:styleId="1040" w:customStyle="1">
    <w:name w:val="标题 Char2"/>
    <w:uiPriority w:val="0"/>
    <w:qFormat/>
    <w:rPr>
      <w:rFonts w:ascii="Cambria" w:hAnsi="Cambria" w:cs="Times New Roman"/>
      <w:b/>
      <w:bCs/>
      <w:sz w:val="32"/>
      <w:szCs w:val="32"/>
    </w:rPr>
  </w:style>
  <w:style w:type="character" w:styleId="1041" w:customStyle="1">
    <w:name w:val="Char Char5"/>
    <w:uiPriority w:val="0"/>
    <w:qFormat/>
    <w:rPr>
      <w:rFonts w:eastAsia="楷体_GB2312"/>
      <w:sz w:val="24"/>
    </w:rPr>
  </w:style>
  <w:style w:type="character" w:styleId="1042" w:customStyle="1">
    <w:name w:val="a-size-large1"/>
    <w:uiPriority w:val="0"/>
    <w:qFormat/>
    <w:rPr>
      <w:rFonts w:hint="default" w:ascii="Arial" w:hAnsi="Arial" w:cs="Arial"/>
    </w:rPr>
  </w:style>
  <w:style w:type="character" w:styleId="1043" w:customStyle="1">
    <w:name w:val="CL 正文1.25 Char"/>
    <w:link w:val="1044"/>
    <w:uiPriority w:val="0"/>
    <w:qFormat/>
    <w:rPr>
      <w:rFonts w:ascii="Cambria" w:hAnsi="Cambria"/>
      <w:spacing w:val="4"/>
      <w:sz w:val="24"/>
      <w:szCs w:val="21"/>
    </w:rPr>
  </w:style>
  <w:style w:type="paragraph" w:styleId="1044" w:customStyle="1">
    <w:name w:val="CL 正文1.25"/>
    <w:basedOn w:val="944"/>
    <w:link w:val="1043"/>
    <w:uiPriority w:val="0"/>
    <w:qFormat/>
    <w:pPr>
      <w:ind w:firstLine="200"/>
      <w:spacing w:line="360" w:lineRule="auto"/>
    </w:pPr>
    <w:rPr>
      <w:rFonts w:ascii="Cambria" w:hAnsi="Cambria"/>
      <w:spacing w:val="4"/>
      <w:sz w:val="24"/>
      <w:szCs w:val="21"/>
    </w:rPr>
  </w:style>
  <w:style w:type="character" w:styleId="1045" w:customStyle="1">
    <w:name w:val="正文文本缩进 2 Char"/>
    <w:uiPriority w:val="0"/>
    <w:qFormat/>
    <w:rPr>
      <w:rFonts w:ascii="宋体"/>
      <w:b/>
      <w:bCs/>
      <w:sz w:val="24"/>
    </w:rPr>
  </w:style>
  <w:style w:type="character" w:styleId="1046" w:customStyle="1">
    <w:name w:val="样式 首行缩进:  2 字符 Char"/>
    <w:link w:val="1047"/>
    <w:uiPriority w:val="0"/>
    <w:qFormat/>
    <w:rPr>
      <w:rFonts w:eastAsia="仿宋_GB2312"/>
      <w:sz w:val="24"/>
    </w:rPr>
  </w:style>
  <w:style w:type="paragraph" w:styleId="1047" w:customStyle="1">
    <w:name w:val="样式 首行缩进:  2 字符"/>
    <w:basedOn w:val="944"/>
    <w:link w:val="1046"/>
    <w:uiPriority w:val="0"/>
    <w:qFormat/>
    <w:pPr>
      <w:ind w:firstLine="560"/>
      <w:spacing w:line="360" w:lineRule="auto"/>
    </w:pPr>
    <w:rPr>
      <w:rFonts w:eastAsia="仿宋_GB2312"/>
      <w:sz w:val="24"/>
      <w:szCs w:val="20"/>
    </w:rPr>
  </w:style>
  <w:style w:type="character" w:styleId="1048" w:customStyle="1">
    <w:name w:val="正文缩进 Char2"/>
    <w:uiPriority w:val="0"/>
    <w:qFormat/>
    <w:rPr>
      <w:rFonts w:eastAsia="楷体_GB2312"/>
      <w:sz w:val="24"/>
      <w:lang w:val="en-US" w:eastAsia="zh-CN" w:bidi="ar-SA"/>
    </w:rPr>
  </w:style>
  <w:style w:type="character" w:styleId="1049" w:customStyle="1">
    <w:name w:val="列出段落 Char"/>
    <w:uiPriority w:val="34"/>
    <w:qFormat/>
    <w:rPr>
      <w:rFonts w:ascii="Calibri" w:hAnsi="Calibri" w:eastAsia="宋体"/>
      <w:sz w:val="22"/>
      <w:lang w:bidi="ar-SA"/>
    </w:rPr>
  </w:style>
  <w:style w:type="character" w:styleId="1050" w:customStyle="1">
    <w:name w:val="ca-221"/>
    <w:uiPriority w:val="0"/>
    <w:qFormat/>
    <w:rPr>
      <w:rFonts w:hint="eastAsia" w:ascii="宋体" w:hAnsi="宋体" w:eastAsia="宋体"/>
      <w:color w:val="ff0000"/>
      <w:sz w:val="24"/>
      <w:szCs w:val="24"/>
    </w:rPr>
  </w:style>
  <w:style w:type="character" w:styleId="1051" w:customStyle="1">
    <w:name w:val="纯文本 Char1"/>
    <w:uiPriority w:val="99"/>
    <w:qFormat/>
    <w:rPr>
      <w:rFonts w:ascii="宋体" w:hAnsi="Courier New" w:eastAsia="楷体_GB2312"/>
      <w:sz w:val="26"/>
      <w:szCs w:val="24"/>
    </w:rPr>
  </w:style>
  <w:style w:type="character" w:styleId="1052" w:customStyle="1">
    <w:name w:val="标题 Char"/>
    <w:uiPriority w:val="0"/>
    <w:qFormat/>
    <w:rPr>
      <w:rFonts w:ascii="Cambria" w:hAnsi="Cambria" w:cs="Times New Roman"/>
      <w:b/>
      <w:bCs/>
      <w:sz w:val="32"/>
      <w:szCs w:val="32"/>
    </w:rPr>
  </w:style>
  <w:style w:type="character" w:styleId="1053" w:customStyle="1">
    <w:name w:val="批注文字 字符"/>
    <w:uiPriority w:val="0"/>
    <w:qFormat/>
    <w:rPr>
      <w:sz w:val="21"/>
      <w:szCs w:val="24"/>
    </w:rPr>
  </w:style>
  <w:style w:type="character" w:styleId="1054" w:customStyle="1">
    <w:name w:val="para1"/>
    <w:uiPriority w:val="0"/>
    <w:qFormat/>
    <w:rPr>
      <w:rFonts w:hint="default" w:ascii="Arial" w:hAnsi="Arial" w:cs="Arial"/>
      <w:sz w:val="18"/>
      <w:szCs w:val="18"/>
    </w:rPr>
  </w:style>
  <w:style w:type="character" w:styleId="1055" w:customStyle="1">
    <w:name w:val="中等深浅网格 1 - 着色 2 字符"/>
    <w:link w:val="1056"/>
    <w:uiPriority w:val="34"/>
    <w:qFormat/>
    <w:rPr>
      <w:sz w:val="21"/>
      <w:szCs w:val="24"/>
    </w:rPr>
  </w:style>
  <w:style w:type="paragraph" w:styleId="1056" w:customStyle="1">
    <w:name w:val="中等深浅网格 1 - 着色 21"/>
    <w:basedOn w:val="944"/>
    <w:link w:val="1055"/>
    <w:uiPriority w:val="34"/>
    <w:qFormat/>
    <w:pPr>
      <w:ind w:firstLine="420"/>
      <w:jc w:val="left"/>
      <w:spacing w:line="360" w:lineRule="auto"/>
    </w:pPr>
  </w:style>
  <w:style w:type="character" w:styleId="1057" w:customStyle="1">
    <w:name w:val="title_emph1"/>
    <w:uiPriority w:val="0"/>
    <w:qFormat/>
    <w:rPr>
      <w:rFonts w:hint="default" w:ascii="Arial" w:hAnsi="Arial" w:cs="Arial"/>
      <w:b/>
      <w:bCs/>
      <w:sz w:val="20"/>
      <w:szCs w:val="20"/>
    </w:rPr>
  </w:style>
  <w:style w:type="character" w:styleId="1058" w:customStyle="1">
    <w:name w:val="正文文本 Char"/>
    <w:uiPriority w:val="0"/>
    <w:qFormat/>
    <w:rPr>
      <w:rFonts w:ascii="楷体_GB2312" w:eastAsia="楷体_GB2312"/>
      <w:sz w:val="28"/>
      <w:lang w:val="en-US" w:eastAsia="zh-CN" w:bidi="ar-SA"/>
    </w:rPr>
  </w:style>
  <w:style w:type="character" w:styleId="1059" w:customStyle="1">
    <w:name w:val="Char Char3"/>
    <w:uiPriority w:val="0"/>
    <w:qFormat/>
    <w:rPr>
      <w:sz w:val="21"/>
      <w:szCs w:val="24"/>
    </w:rPr>
  </w:style>
  <w:style w:type="character" w:styleId="1060" w:customStyle="1">
    <w:name w:val="Char Char2"/>
    <w:uiPriority w:val="0"/>
    <w:qFormat/>
    <w:rPr>
      <w:rFonts w:ascii="宋体" w:hAnsi="宋体" w:eastAsia="宋体"/>
      <w:sz w:val="21"/>
      <w:szCs w:val="24"/>
      <w:lang w:val="en-US" w:eastAsia="zh-CN" w:bidi="ar-SA"/>
    </w:rPr>
  </w:style>
  <w:style w:type="character" w:styleId="1061" w:customStyle="1">
    <w:name w:val="Plain Text Char"/>
    <w:link w:val="1062"/>
    <w:uiPriority w:val="0"/>
    <w:qFormat/>
    <w:rPr>
      <w:rFonts w:ascii="宋体" w:hAnsi="Courier New" w:eastAsia="楷体_GB2312"/>
      <w:sz w:val="26"/>
    </w:rPr>
  </w:style>
  <w:style w:type="paragraph" w:styleId="1062" w:customStyle="1">
    <w:name w:val="纯文本5"/>
    <w:basedOn w:val="944"/>
    <w:link w:val="1061"/>
    <w:uiPriority w:val="0"/>
    <w:qFormat/>
    <w:rPr>
      <w:rFonts w:ascii="宋体" w:hAnsi="Courier New" w:eastAsia="楷体_GB2312"/>
      <w:sz w:val="26"/>
      <w:szCs w:val="20"/>
    </w:rPr>
  </w:style>
  <w:style w:type="character" w:styleId="1063" w:customStyle="1">
    <w:name w:val="Andy_3级 Char"/>
    <w:link w:val="1064"/>
    <w:uiPriority w:val="0"/>
    <w:qFormat/>
    <w:rPr>
      <w:rFonts w:ascii="Calibri" w:hAnsi="Calibri"/>
      <w:sz w:val="24"/>
    </w:rPr>
  </w:style>
  <w:style w:type="paragraph" w:styleId="1064" w:customStyle="1">
    <w:name w:val="Andy_3级"/>
    <w:basedOn w:val="944"/>
    <w:link w:val="1063"/>
    <w:uiPriority w:val="0"/>
    <w:qFormat/>
    <w:pPr>
      <w:numPr>
        <w:ilvl w:val="2"/>
        <w:numId w:val="2"/>
      </w:numPr>
      <w:spacing w:line="360" w:lineRule="auto"/>
    </w:pPr>
    <w:rPr>
      <w:sz w:val="24"/>
      <w:szCs w:val="20"/>
    </w:rPr>
  </w:style>
  <w:style w:type="character" w:styleId="1065" w:customStyle="1">
    <w:name w:val="_正文段落 Char"/>
    <w:link w:val="1066"/>
    <w:uiPriority w:val="0"/>
    <w:qFormat/>
    <w:rPr>
      <w:sz w:val="24"/>
      <w:szCs w:val="24"/>
    </w:rPr>
  </w:style>
  <w:style w:type="paragraph" w:styleId="1066" w:customStyle="1">
    <w:name w:val="_正文段落"/>
    <w:basedOn w:val="944"/>
    <w:link w:val="1065"/>
    <w:uiPriority w:val="0"/>
    <w:qFormat/>
    <w:pPr>
      <w:ind w:firstLine="200"/>
      <w:spacing w:before="50" w:after="50" w:line="360" w:lineRule="auto"/>
    </w:pPr>
    <w:rPr>
      <w:sz w:val="24"/>
    </w:rPr>
  </w:style>
  <w:style w:type="character" w:styleId="1067" w:customStyle="1">
    <w:name w:val="正 文 1 Char"/>
    <w:uiPriority w:val="0"/>
    <w:qFormat/>
    <w:rPr>
      <w:rFonts w:ascii="宋体" w:hAnsi="Courier New" w:eastAsia="楷体_GB2312"/>
      <w:sz w:val="28"/>
      <w:lang w:val="en-US" w:eastAsia="zh-CN" w:bidi="ar-SA"/>
    </w:rPr>
  </w:style>
  <w:style w:type="character" w:styleId="1068" w:customStyle="1">
    <w:name w:val="Char Char7"/>
    <w:uiPriority w:val="0"/>
    <w:qFormat/>
    <w:rPr>
      <w:b/>
      <w:bCs/>
      <w:sz w:val="32"/>
      <w:szCs w:val="32"/>
    </w:rPr>
  </w:style>
  <w:style w:type="character" w:styleId="1069" w:customStyle="1">
    <w:name w:val="标题 1 字符"/>
    <w:uiPriority w:val="9"/>
    <w:qFormat/>
    <w:rPr>
      <w:rFonts w:eastAsia="楷体_GB2312"/>
      <w:b/>
      <w:sz w:val="44"/>
    </w:rPr>
  </w:style>
  <w:style w:type="character" w:styleId="1070" w:customStyle="1">
    <w:name w:val="正文首行缩进 Char Char"/>
    <w:link w:val="1071"/>
    <w:uiPriority w:val="0"/>
    <w:qFormat/>
    <w:rPr>
      <w:szCs w:val="24"/>
    </w:rPr>
  </w:style>
  <w:style w:type="paragraph" w:styleId="1071" w:customStyle="1">
    <w:name w:val="正文首行缩进1"/>
    <w:basedOn w:val="956"/>
    <w:link w:val="1070"/>
    <w:uiPriority w:val="0"/>
    <w:qFormat/>
    <w:pPr>
      <w:ind w:firstLine="420"/>
      <w:spacing w:after="120"/>
      <w:tabs>
        <w:tab w:val="clear" w:pos="5250" w:leader="none"/>
      </w:tabs>
    </w:pPr>
    <w:rPr>
      <w:sz w:val="20"/>
    </w:rPr>
  </w:style>
  <w:style w:type="character" w:styleId="1072" w:customStyle="1">
    <w:name w:val="Plain Text Char Char"/>
    <w:uiPriority w:val="0"/>
    <w:qFormat/>
    <w:rPr>
      <w:rFonts w:ascii="宋体" w:hAnsi="Courier New" w:eastAsia="楷体_GB2312"/>
      <w:sz w:val="28"/>
    </w:rPr>
  </w:style>
  <w:style w:type="character" w:styleId="1073" w:customStyle="1">
    <w:name w:val="Char Char6"/>
    <w:uiPriority w:val="0"/>
    <w:qFormat/>
    <w:rPr>
      <w:rFonts w:ascii="Arial" w:hAnsi="Arial" w:eastAsia="黑体"/>
      <w:b/>
      <w:bCs/>
      <w:sz w:val="28"/>
      <w:szCs w:val="28"/>
      <w:lang w:val="en-US" w:eastAsia="zh-CN" w:bidi="ar-SA"/>
    </w:rPr>
  </w:style>
  <w:style w:type="character" w:styleId="1074" w:customStyle="1">
    <w:name w:val="Andy_正文 Char"/>
    <w:link w:val="1075"/>
    <w:uiPriority w:val="0"/>
    <w:qFormat/>
    <w:rPr>
      <w:rFonts w:ascii="Calibri" w:hAnsi="Calibri"/>
      <w:sz w:val="24"/>
      <w:szCs w:val="24"/>
    </w:rPr>
  </w:style>
  <w:style w:type="paragraph" w:styleId="1075" w:customStyle="1">
    <w:name w:val="Andy_正文"/>
    <w:basedOn w:val="944"/>
    <w:link w:val="1074"/>
    <w:uiPriority w:val="0"/>
    <w:qFormat/>
    <w:pPr>
      <w:ind w:firstLine="480"/>
      <w:spacing w:line="360" w:lineRule="auto"/>
    </w:pPr>
    <w:rPr>
      <w:sz w:val="24"/>
    </w:rPr>
  </w:style>
  <w:style w:type="character" w:styleId="1076" w:customStyle="1">
    <w:name w:val="正文缩进 Char1"/>
    <w:uiPriority w:val="0"/>
    <w:qFormat/>
    <w:rPr>
      <w:rFonts w:ascii="Times New Roman" w:hAnsi="Times New Roman" w:eastAsia="楷体_GB2312" w:cs="Times New Roman"/>
      <w:sz w:val="24"/>
      <w:szCs w:val="20"/>
    </w:rPr>
  </w:style>
  <w:style w:type="paragraph" w:styleId="1077" w:customStyle="1">
    <w:name w:val="xl65"/>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8" w:customStyle="1">
    <w:name w:val="xl64"/>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79" w:customStyle="1">
    <w:name w:val="Char Char Char"/>
    <w:basedOn w:val="944"/>
    <w:uiPriority w:val="0"/>
    <w:qFormat/>
    <w:rPr>
      <w:rFonts w:ascii="Tahoma" w:hAnsi="Tahoma"/>
      <w:sz w:val="24"/>
      <w:szCs w:val="20"/>
    </w:rPr>
  </w:style>
  <w:style w:type="paragraph" w:styleId="1080" w:customStyle="1">
    <w:name w:val="xl53"/>
    <w:basedOn w:val="9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1" w:customStyle="1">
    <w:name w:val="表格正文 居中"/>
    <w:basedOn w:val="944"/>
    <w:uiPriority w:val="0"/>
    <w:qFormat/>
    <w:pPr>
      <w:jc w:val="center"/>
    </w:pPr>
    <w:rPr>
      <w:rFonts w:ascii="宋体" w:hAnsi="宋体" w:cs="宋体"/>
      <w:szCs w:val="20"/>
    </w:rPr>
  </w:style>
  <w:style w:type="paragraph" w:styleId="1082" w:customStyle="1">
    <w:name w:val="xl56"/>
    <w:basedOn w:val="9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3" w:customStyle="1">
    <w:name w:val="p17"/>
    <w:basedOn w:val="944"/>
    <w:uiPriority w:val="0"/>
    <w:qFormat/>
    <w:pPr>
      <w:ind w:firstLine="420"/>
    </w:pPr>
    <w:rPr>
      <w:rFonts w:ascii="Times New Roman" w:hAnsi="Times New Roman" w:cs="黑体"/>
      <w:b/>
      <w:bCs/>
      <w:sz w:val="28"/>
      <w:szCs w:val="28"/>
    </w:rPr>
  </w:style>
  <w:style w:type="paragraph" w:styleId="1084" w:customStyle="1">
    <w:name w:val="小四 段落 宋体 Char Char Char Char Char Char"/>
    <w:basedOn w:val="1085"/>
    <w:uiPriority w:val="0"/>
    <w:qFormat/>
    <w:pPr>
      <w:ind w:firstLine="480"/>
    </w:pPr>
    <w:rPr>
      <w:rFonts w:ascii="宋体" w:hAnsi="宋体"/>
    </w:rPr>
  </w:style>
  <w:style w:type="paragraph" w:styleId="1085" w:customStyle="1">
    <w:name w:val="小四 段落 宋体 Char Char Char Char Char Char Char"/>
    <w:basedOn w:val="962"/>
    <w:uiPriority w:val="0"/>
    <w:semiHidden/>
    <w:qFormat/>
    <w:pPr>
      <w:ind w:left="0" w:right="-33" w:firstLine="545"/>
      <w:jc w:val="left"/>
      <w:spacing w:line="360" w:lineRule="auto"/>
      <w:tabs>
        <w:tab w:val="clear" w:pos="1125" w:leader="none"/>
      </w:tabs>
    </w:pPr>
    <w:rPr>
      <w:sz w:val="24"/>
    </w:rPr>
  </w:style>
  <w:style w:type="paragraph" w:styleId="1086" w:customStyle="1">
    <w:name w:val="xl51"/>
    <w:basedOn w:val="9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87" w:customStyle="1">
    <w:name w:val="Char Char4 Char"/>
    <w:basedOn w:val="944"/>
    <w:uiPriority w:val="0"/>
    <w:qFormat/>
    <w:rPr>
      <w:rFonts w:ascii="Tahoma" w:hAnsi="Tahoma"/>
      <w:sz w:val="24"/>
      <w:szCs w:val="20"/>
    </w:rPr>
  </w:style>
  <w:style w:type="paragraph" w:styleId="1088" w:customStyle="1">
    <w:name w:val="Default Paragraph Font Para Char"/>
    <w:basedOn w:val="944"/>
    <w:uiPriority w:val="0"/>
    <w:semiHidden/>
    <w:qFormat/>
    <w:pPr>
      <w:jc w:val="left"/>
      <w:spacing w:after="160" w:line="240" w:lineRule="exact"/>
      <w:widowControl/>
    </w:pPr>
    <w:rPr>
      <w:rFonts w:ascii="Verdana" w:hAnsi="Verdana"/>
      <w:sz w:val="20"/>
      <w:szCs w:val="20"/>
      <w:lang w:eastAsia="en-US"/>
    </w:rPr>
  </w:style>
  <w:style w:type="paragraph" w:styleId="1089" w:customStyle="1">
    <w:name w:val="xl57"/>
    <w:basedOn w:val="94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0" w:customStyle="1">
    <w:name w:val="列出段落1"/>
    <w:basedOn w:val="944"/>
    <w:uiPriority w:val="0"/>
    <w:qFormat/>
    <w:pPr>
      <w:ind w:firstLine="200"/>
      <w:spacing w:line="360" w:lineRule="auto"/>
    </w:pPr>
    <w:rPr>
      <w:sz w:val="22"/>
      <w:szCs w:val="20"/>
    </w:rPr>
  </w:style>
  <w:style w:type="paragraph" w:styleId="1091" w:customStyle="1">
    <w:name w:val="Andy_一级"/>
    <w:basedOn w:val="944"/>
    <w:uiPriority w:val="0"/>
    <w:qFormat/>
    <w:pPr>
      <w:numPr>
        <w:ilvl w:val="0"/>
        <w:numId w:val="2"/>
      </w:numPr>
      <w:ind w:left="420" w:hanging="420"/>
      <w:keepNext/>
      <w:spacing w:line="360" w:lineRule="auto"/>
      <w:tabs>
        <w:tab w:val="left" w:pos="420" w:leader="none"/>
      </w:tabs>
    </w:pPr>
    <w:rPr>
      <w:b/>
      <w:sz w:val="24"/>
      <w:szCs w:val="22"/>
    </w:rPr>
  </w:style>
  <w:style w:type="paragraph" w:styleId="1092" w:customStyle="1">
    <w:name w:val="cardlist-value"/>
    <w:basedOn w:val="944"/>
    <w:uiPriority w:val="0"/>
    <w:qFormat/>
    <w:pPr>
      <w:jc w:val="left"/>
      <w:spacing w:before="100" w:beforeAutospacing="1" w:after="100" w:afterAutospacing="1"/>
      <w:widowControl/>
    </w:pPr>
    <w:rPr>
      <w:rFonts w:ascii="宋体" w:hAnsi="宋体" w:cs="宋体"/>
      <w:sz w:val="24"/>
    </w:rPr>
  </w:style>
  <w:style w:type="paragraph" w:styleId="1093" w:customStyle="1">
    <w:name w:val="Plain Text1"/>
    <w:basedOn w:val="944"/>
    <w:uiPriority w:val="0"/>
    <w:qFormat/>
    <w:rPr>
      <w:rFonts w:ascii="宋体" w:hAnsi="Courier New" w:eastAsia="楷体_GB2312"/>
      <w:sz w:val="26"/>
      <w:szCs w:val="20"/>
    </w:rPr>
  </w:style>
  <w:style w:type="paragraph" w:styleId="1094" w:customStyle="1">
    <w:name w:val="xl45"/>
    <w:basedOn w:val="9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5" w:customStyle="1">
    <w:name w:val="小四 段落 宋体 Char"/>
    <w:basedOn w:val="962"/>
    <w:uiPriority w:val="0"/>
    <w:qFormat/>
    <w:pPr>
      <w:ind w:left="0" w:right="-33" w:firstLine="480"/>
      <w:jc w:val="left"/>
      <w:spacing w:line="360" w:lineRule="auto"/>
      <w:tabs>
        <w:tab w:val="clear" w:pos="1125" w:leader="none"/>
      </w:tabs>
    </w:pPr>
    <w:rPr>
      <w:sz w:val="24"/>
    </w:rPr>
  </w:style>
  <w:style w:type="paragraph" w:styleId="1096" w:customStyle="1">
    <w:name w:val="表格1"/>
    <w:basedOn w:val="944"/>
    <w:next w:val="944"/>
    <w:uiPriority w:val="0"/>
    <w:qFormat/>
    <w:pPr>
      <w:jc w:val="center"/>
      <w:spacing w:line="288" w:lineRule="auto"/>
    </w:pPr>
    <w:rPr>
      <w:rFonts w:ascii="宋体"/>
      <w:sz w:val="18"/>
      <w:szCs w:val="20"/>
    </w:rPr>
  </w:style>
  <w:style w:type="paragraph" w:styleId="1097" w:customStyle="1">
    <w:name w:val="表格正文"/>
    <w:basedOn w:val="944"/>
    <w:uiPriority w:val="0"/>
    <w:qFormat/>
    <w:pPr>
      <w:jc w:val="left"/>
    </w:pPr>
    <w:rPr>
      <w:rFonts w:ascii="宋体" w:hAnsi="宋体" w:cs="宋体"/>
      <w:color w:val="000000"/>
      <w:sz w:val="22"/>
      <w:szCs w:val="20"/>
    </w:rPr>
  </w:style>
  <w:style w:type="paragraph" w:styleId="1098" w:customStyle="1">
    <w:name w:val="xl61"/>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99" w:customStyle="1">
    <w:name w:val="xl58"/>
    <w:basedOn w:val="9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0" w:customStyle="1">
    <w:name w:val="xl60"/>
    <w:basedOn w:val="9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1" w:customStyle="1">
    <w:name w:val="xl54"/>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2" w:customStyle="1">
    <w:name w:val="p0"/>
    <w:basedOn w:val="944"/>
    <w:uiPriority w:val="0"/>
    <w:qFormat/>
    <w:pPr>
      <w:widowControl/>
    </w:pPr>
    <w:rPr>
      <w:sz w:val="26"/>
      <w:szCs w:val="26"/>
    </w:rPr>
  </w:style>
  <w:style w:type="paragraph" w:styleId="1103" w:customStyle="1">
    <w:name w:val="xl50"/>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04" w:customStyle="1">
    <w:name w:val="Char Char Char1"/>
    <w:basedOn w:val="944"/>
    <w:uiPriority w:val="0"/>
    <w:qFormat/>
    <w:rPr>
      <w:rFonts w:ascii="Tahoma" w:hAnsi="Tahoma"/>
      <w:sz w:val="24"/>
      <w:szCs w:val="20"/>
    </w:rPr>
  </w:style>
  <w:style w:type="paragraph" w:styleId="1105" w:customStyle="1">
    <w:name w:val="纯文本3"/>
    <w:basedOn w:val="944"/>
    <w:uiPriority w:val="0"/>
    <w:qFormat/>
    <w:rPr>
      <w:rFonts w:ascii="宋体" w:hAnsi="Courier New" w:eastAsia="楷体_GB2312"/>
      <w:sz w:val="26"/>
      <w:szCs w:val="20"/>
    </w:rPr>
  </w:style>
  <w:style w:type="paragraph" w:styleId="1106" w:customStyle="1">
    <w:name w:val="Andy_4级"/>
    <w:basedOn w:val="944"/>
    <w:uiPriority w:val="0"/>
    <w:qFormat/>
    <w:pPr>
      <w:numPr>
        <w:ilvl w:val="3"/>
        <w:numId w:val="2"/>
      </w:numPr>
      <w:ind w:left="420" w:firstLine="510"/>
      <w:spacing w:line="360" w:lineRule="auto"/>
      <w:tabs>
        <w:tab w:val="left" w:pos="420" w:leader="none"/>
      </w:tabs>
    </w:pPr>
    <w:rPr>
      <w:sz w:val="24"/>
      <w:szCs w:val="20"/>
    </w:rPr>
  </w:style>
  <w:style w:type="paragraph" w:styleId="1107" w:customStyle="1">
    <w:name w:val="xl62"/>
    <w:basedOn w:val="9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08" w:customStyle="1">
    <w:name w:val="font6"/>
    <w:basedOn w:val="944"/>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109" w:customStyle="1">
    <w:name w:val="QB正文"/>
    <w:basedOn w:val="944"/>
    <w:uiPriority w:val="0"/>
    <w:qFormat/>
    <w:pPr>
      <w:ind w:firstLine="200"/>
      <w:widowControl/>
    </w:pPr>
    <w:rPr>
      <w:rFonts w:ascii="宋体" w:hAnsi="宋体"/>
      <w:szCs w:val="20"/>
    </w:rPr>
  </w:style>
  <w:style w:type="paragraph" w:styleId="1110" w:customStyle="1">
    <w:name w:val="列表内容"/>
    <w:basedOn w:val="944"/>
    <w:next w:val="944"/>
    <w:uiPriority w:val="0"/>
    <w:qFormat/>
    <w:pPr>
      <w:numPr>
        <w:ilvl w:val="0"/>
        <w:numId w:val="3"/>
      </w:numPr>
      <w:jc w:val="left"/>
      <w:widowControl/>
    </w:pPr>
    <w:rPr>
      <w:sz w:val="18"/>
    </w:rPr>
  </w:style>
  <w:style w:type="paragraph" w:styleId="1111" w:customStyle="1">
    <w:name w:val="font5"/>
    <w:basedOn w:val="944"/>
    <w:uiPriority w:val="0"/>
    <w:qFormat/>
    <w:pPr>
      <w:jc w:val="left"/>
      <w:spacing w:before="100" w:beforeAutospacing="1" w:after="100" w:afterAutospacing="1"/>
      <w:widowControl/>
    </w:pPr>
    <w:rPr>
      <w:rFonts w:hint="eastAsia" w:ascii="宋体" w:hAnsi="宋体"/>
      <w:sz w:val="18"/>
      <w:szCs w:val="18"/>
    </w:rPr>
  </w:style>
  <w:style w:type="paragraph" w:styleId="1112" w:customStyle="1">
    <w:name w:val="xl46"/>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3" w:customStyle="1">
    <w:name w:val="xl66"/>
    <w:basedOn w:val="9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4" w:customStyle="1">
    <w:name w:val="_Style 18"/>
    <w:basedOn w:val="944"/>
    <w:uiPriority w:val="0"/>
    <w:qFormat/>
    <w:rPr>
      <w:rFonts w:ascii="Tahoma" w:hAnsi="Tahoma"/>
      <w:sz w:val="24"/>
      <w:szCs w:val="20"/>
    </w:rPr>
  </w:style>
  <w:style w:type="paragraph" w:styleId="1115" w:customStyle="1">
    <w:name w:val="正文 A"/>
    <w:next w:val="1012"/>
    <w:uiPriority w:val="0"/>
    <w:qFormat/>
    <w:pPr>
      <w:jc w:val="both"/>
      <w:widowControl w:val="off"/>
      <w:pBdr>
        <w:top w:val="none" w:color="FFFFFF" w:sz="0" w:space="31"/>
        <w:left w:val="none" w:color="FFFFFF" w:sz="0" w:space="31"/>
        <w:bottom w:val="none" w:color="FFFFFF" w:sz="0" w:space="31"/>
        <w:right w:val="none" w:color="FFFFFF" w:sz="0" w:space="31"/>
      </w:pBdr>
    </w:pPr>
    <w:rPr>
      <w:rFonts w:ascii="Cambria" w:hAnsi="Cambria" w:eastAsia="宋体" w:cs="Times New Roman"/>
      <w:color w:val="000000"/>
      <w:sz w:val="26"/>
      <w:szCs w:val="26"/>
      <w:lang w:val="en-US" w:eastAsia="zh-CN" w:bidi="ar-SA"/>
    </w:rPr>
  </w:style>
  <w:style w:type="paragraph" w:styleId="1116" w:customStyle="1">
    <w:name w:val="规范正文"/>
    <w:basedOn w:val="944"/>
    <w:uiPriority w:val="0"/>
    <w:qFormat/>
    <w:pPr>
      <w:ind w:left="480"/>
      <w:spacing w:line="360" w:lineRule="auto"/>
    </w:pPr>
    <w:rPr>
      <w:sz w:val="24"/>
      <w:szCs w:val="20"/>
    </w:rPr>
  </w:style>
  <w:style w:type="paragraph" w:styleId="1117" w:customStyle="1">
    <w:name w:val="正文1"/>
    <w:basedOn w:val="944"/>
    <w:uiPriority w:val="0"/>
    <w:qFormat/>
    <w:pPr>
      <w:contextualSpacing/>
      <w:ind w:firstLine="200"/>
      <w:jc w:val="left"/>
      <w:spacing w:before="120" w:after="120"/>
      <w:widowControl/>
    </w:pPr>
    <w:rPr>
      <w:rFonts w:eastAsia="Adobe 仿宋 Std R"/>
      <w:sz w:val="24"/>
      <w:szCs w:val="21"/>
    </w:rPr>
  </w:style>
  <w:style w:type="paragraph" w:styleId="1118" w:customStyle="1">
    <w:name w:val="纯文本2"/>
    <w:basedOn w:val="944"/>
    <w:uiPriority w:val="0"/>
    <w:qFormat/>
    <w:rPr>
      <w:rFonts w:ascii="宋体" w:hAnsi="Courier New" w:eastAsia="楷体_GB2312"/>
      <w:sz w:val="26"/>
      <w:szCs w:val="20"/>
    </w:rPr>
  </w:style>
  <w:style w:type="paragraph" w:styleId="1119" w:customStyle="1">
    <w:name w:val="xl55"/>
    <w:basedOn w:val="94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0" w:customStyle="1">
    <w:name w:val="Char Char Char Char Char Char Char Char Char1 Char"/>
    <w:basedOn w:val="965"/>
    <w:uiPriority w:val="0"/>
    <w:qFormat/>
    <w:pPr>
      <w:spacing w:line="360" w:lineRule="auto"/>
    </w:pPr>
  </w:style>
  <w:style w:type="paragraph" w:styleId="1121" w:customStyle="1">
    <w:name w:val="Char Char Char Char Char Char Char Char"/>
    <w:basedOn w:val="944"/>
    <w:uiPriority w:val="0"/>
    <w:qFormat/>
  </w:style>
  <w:style w:type="paragraph" w:styleId="1122" w:customStyle="1">
    <w:name w:val="xl59"/>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3" w:customStyle="1">
    <w:name w:val="Char"/>
    <w:basedOn w:val="944"/>
    <w:uiPriority w:val="0"/>
    <w:qFormat/>
    <w:pPr>
      <w:numPr>
        <w:ilvl w:val="0"/>
        <w:numId w:val="4"/>
      </w:numPr>
      <w:ind w:left="960"/>
      <w:tabs>
        <w:tab w:val="clear" w:pos="420" w:leader="none"/>
        <w:tab w:val="left" w:pos="960" w:leader="none"/>
      </w:tabs>
    </w:pPr>
    <w:rPr>
      <w:sz w:val="24"/>
    </w:rPr>
  </w:style>
  <w:style w:type="paragraph" w:styleId="1124" w:customStyle="1">
    <w:name w:val="默认段落字体 Para Char Char Char Char Char Char Char"/>
    <w:basedOn w:val="944"/>
    <w:uiPriority w:val="0"/>
    <w:qFormat/>
    <w:pPr>
      <w:spacing w:line="360" w:lineRule="auto"/>
    </w:pPr>
    <w:rPr>
      <w:rFonts w:ascii="Tahoma" w:hAnsi="Tahoma"/>
      <w:sz w:val="24"/>
      <w:szCs w:val="20"/>
    </w:rPr>
  </w:style>
  <w:style w:type="paragraph" w:styleId="1125" w:customStyle="1">
    <w:name w:val="Char Char Char1 Char Char Char Char"/>
    <w:basedOn w:val="944"/>
    <w:uiPriority w:val="0"/>
    <w:qFormat/>
    <w:pPr>
      <w:jc w:val="left"/>
      <w:spacing w:after="160" w:line="240" w:lineRule="exact"/>
      <w:widowControl/>
    </w:pPr>
    <w:rPr>
      <w:sz w:val="24"/>
    </w:rPr>
  </w:style>
  <w:style w:type="paragraph" w:styleId="1126" w:customStyle="1">
    <w:name w:val="font7"/>
    <w:basedOn w:val="944"/>
    <w:uiPriority w:val="0"/>
    <w:qFormat/>
    <w:pPr>
      <w:jc w:val="left"/>
      <w:spacing w:before="100" w:beforeAutospacing="1" w:after="100" w:afterAutospacing="1"/>
      <w:widowControl/>
    </w:pPr>
    <w:rPr>
      <w:sz w:val="20"/>
      <w:szCs w:val="20"/>
    </w:rPr>
  </w:style>
  <w:style w:type="paragraph" w:styleId="1127" w:customStyle="1">
    <w:name w:val="xl48"/>
    <w:basedOn w:val="9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28" w:customStyle="1">
    <w:name w:val="xl63"/>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29" w:customStyle="1">
    <w:name w:val="Char Char1"/>
    <w:basedOn w:val="944"/>
    <w:uiPriority w:val="0"/>
    <w:qFormat/>
    <w:pPr>
      <w:jc w:val="left"/>
      <w:spacing w:after="160" w:line="240" w:lineRule="exact"/>
      <w:widowControl/>
    </w:pPr>
    <w:rPr>
      <w:rFonts w:ascii="Verdana" w:hAnsi="Verdana"/>
      <w:sz w:val="20"/>
      <w:szCs w:val="20"/>
      <w:lang w:eastAsia="en-US"/>
    </w:rPr>
  </w:style>
  <w:style w:type="paragraph" w:styleId="1130" w:customStyle="1">
    <w:name w:val="List Paragraph1"/>
    <w:basedOn w:val="944"/>
    <w:uiPriority w:val="0"/>
    <w:qFormat/>
    <w:pPr>
      <w:ind w:firstLine="420"/>
    </w:pPr>
    <w:rPr>
      <w:szCs w:val="20"/>
    </w:rPr>
  </w:style>
  <w:style w:type="paragraph" w:styleId="1131">
    <w:name w:val="List Paragraph"/>
    <w:basedOn w:val="944"/>
    <w:link w:val="1160"/>
    <w:uiPriority w:val="0"/>
    <w:qFormat/>
    <w:pPr>
      <w:ind w:firstLine="420"/>
    </w:pPr>
    <w:rPr>
      <w:szCs w:val="20"/>
    </w:rPr>
  </w:style>
  <w:style w:type="paragraph" w:styleId="1132" w:customStyle="1">
    <w:name w:val="Char1"/>
    <w:basedOn w:val="944"/>
    <w:uiPriority w:val="0"/>
    <w:qFormat/>
    <w:rPr>
      <w:rFonts w:ascii="Tahoma" w:hAnsi="Tahoma"/>
      <w:sz w:val="24"/>
      <w:szCs w:val="20"/>
    </w:rPr>
  </w:style>
  <w:style w:type="paragraph" w:styleId="1133" w:customStyle="1">
    <w:name w:val="Char Char3 Char Char Char Char Char Char Char Char Char Char Char Char Char Char Char Char"/>
    <w:basedOn w:val="944"/>
    <w:uiPriority w:val="0"/>
    <w:qFormat/>
    <w:pPr>
      <w:ind w:firstLine="200"/>
      <w:jc w:val="left"/>
      <w:spacing w:after="160" w:line="360" w:lineRule="auto"/>
      <w:widowControl/>
    </w:pPr>
    <w:rPr>
      <w:rFonts w:ascii="宋体" w:hAnsi="宋体"/>
      <w:sz w:val="24"/>
      <w:szCs w:val="20"/>
    </w:rPr>
  </w:style>
  <w:style w:type="paragraph" w:styleId="1134" w:customStyle="1">
    <w:name w:val="纯文本1"/>
    <w:basedOn w:val="944"/>
    <w:uiPriority w:val="0"/>
    <w:qFormat/>
    <w:pPr>
      <w:jc w:val="left"/>
      <w:widowControl/>
    </w:pPr>
    <w:rPr>
      <w:rFonts w:ascii="宋体" w:hAnsi="Courier New" w:eastAsia="楷体_GB2312"/>
      <w:sz w:val="26"/>
      <w:szCs w:val="20"/>
    </w:rPr>
  </w:style>
  <w:style w:type="paragraph" w:styleId="1135" w:customStyle="1">
    <w:name w:val="xl49"/>
    <w:basedOn w:val="944"/>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36" w:customStyle="1">
    <w:name w:val="xl52"/>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7" w:customStyle="1">
    <w:name w:val="表格标题"/>
    <w:basedOn w:val="944"/>
    <w:uiPriority w:val="0"/>
    <w:qFormat/>
    <w:pPr>
      <w:jc w:val="center"/>
    </w:pPr>
    <w:rPr>
      <w:rFonts w:ascii="宋体" w:hAnsi="宋体" w:cs="宋体"/>
      <w:b/>
      <w:bCs/>
      <w:szCs w:val="20"/>
    </w:rPr>
  </w:style>
  <w:style w:type="paragraph" w:styleId="1138" w:customStyle="1">
    <w:name w:val="xl47"/>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39" w:customStyle="1">
    <w:name w:val="纯文本4"/>
    <w:basedOn w:val="944"/>
    <w:uiPriority w:val="0"/>
    <w:qFormat/>
    <w:rPr>
      <w:rFonts w:ascii="宋体" w:hAnsi="Courier New" w:eastAsia="楷体_GB2312"/>
      <w:sz w:val="28"/>
      <w:szCs w:val="20"/>
    </w:rPr>
  </w:style>
  <w:style w:type="paragraph" w:styleId="1140" w:customStyle="1">
    <w:name w:val="Char Char4 Char Char"/>
    <w:basedOn w:val="944"/>
    <w:uiPriority w:val="0"/>
    <w:qFormat/>
    <w:rPr>
      <w:rFonts w:ascii="Tahoma" w:hAnsi="Tahoma"/>
      <w:sz w:val="24"/>
      <w:szCs w:val="20"/>
    </w:rPr>
  </w:style>
  <w:style w:type="character" w:styleId="1141" w:customStyle="1">
    <w:name w:val="font41"/>
    <w:basedOn w:val="954"/>
    <w:uiPriority w:val="0"/>
    <w:qFormat/>
    <w:rPr>
      <w:rFonts w:ascii="Arial" w:hAnsi="Arial" w:cs="Arial"/>
      <w:b/>
      <w:bCs/>
      <w:color w:val="000000"/>
      <w:sz w:val="28"/>
      <w:szCs w:val="28"/>
      <w:u w:val="none"/>
    </w:rPr>
  </w:style>
  <w:style w:type="character" w:styleId="1142" w:customStyle="1">
    <w:name w:val="font11"/>
    <w:basedOn w:val="954"/>
    <w:uiPriority w:val="0"/>
    <w:qFormat/>
    <w:rPr>
      <w:rFonts w:hint="eastAsia" w:ascii="宋体" w:hAnsi="宋体" w:eastAsia="宋体" w:cs="宋体"/>
      <w:b/>
      <w:bCs/>
      <w:color w:val="000000"/>
      <w:sz w:val="28"/>
      <w:szCs w:val="28"/>
      <w:u w:val="none"/>
    </w:rPr>
  </w:style>
  <w:style w:type="character" w:styleId="1143" w:customStyle="1">
    <w:name w:val="表格 Char Char"/>
    <w:link w:val="1144"/>
    <w:uiPriority w:val="0"/>
    <w:qFormat/>
    <w:rPr>
      <w:rFonts w:ascii="宋体" w:hAnsi="宋体"/>
    </w:rPr>
  </w:style>
  <w:style w:type="paragraph" w:styleId="1144" w:customStyle="1">
    <w:name w:val="表格"/>
    <w:basedOn w:val="944"/>
    <w:link w:val="1143"/>
    <w:uiPriority w:val="0"/>
    <w:qFormat/>
    <w:rPr>
      <w:rFonts w:ascii="宋体" w:hAnsi="宋体"/>
      <w:sz w:val="20"/>
      <w:szCs w:val="20"/>
    </w:rPr>
  </w:style>
  <w:style w:type="character" w:styleId="1145" w:customStyle="1">
    <w:name w:val="标题三自定义 Char"/>
    <w:link w:val="1146"/>
    <w:uiPriority w:val="99"/>
    <w:qFormat/>
    <w:rPr>
      <w:rFonts w:ascii="Calibri" w:hAnsi="Calibri"/>
      <w:sz w:val="21"/>
      <w:szCs w:val="22"/>
    </w:rPr>
  </w:style>
  <w:style w:type="paragraph" w:styleId="1146" w:customStyle="1">
    <w:name w:val="标题三自定义"/>
    <w:basedOn w:val="944"/>
    <w:link w:val="1145"/>
    <w:uiPriority w:val="99"/>
    <w:qFormat/>
    <w:pPr>
      <w:ind w:left="5670" w:hanging="709"/>
      <w:tabs>
        <w:tab w:val="left" w:pos="5812" w:leader="none"/>
      </w:tabs>
    </w:pPr>
    <w:rPr>
      <w:szCs w:val="22"/>
    </w:rPr>
  </w:style>
  <w:style w:type="character" w:styleId="1147" w:customStyle="1">
    <w:name w:val="页脚 字符"/>
    <w:link w:val="979"/>
    <w:uiPriority w:val="99"/>
    <w:qFormat/>
    <w:rPr>
      <w:rFonts w:ascii="Calibri" w:hAnsi="Calibri"/>
      <w:sz w:val="18"/>
      <w:szCs w:val="18"/>
    </w:rPr>
  </w:style>
  <w:style w:type="character" w:styleId="1148" w:customStyle="1">
    <w:name w:val="普通文字1 Char"/>
    <w:uiPriority w:val="0"/>
    <w:qFormat/>
    <w:rPr>
      <w:rFonts w:ascii="宋体" w:hAnsi="Courier New" w:eastAsia="宋体"/>
      <w:sz w:val="21"/>
      <w:szCs w:val="21"/>
      <w:lang w:val="en-US" w:eastAsia="zh-CN" w:bidi="ar-SA"/>
    </w:rPr>
  </w:style>
  <w:style w:type="character" w:styleId="1149" w:customStyle="1">
    <w:name w:val="Table Text Char1"/>
    <w:link w:val="1150"/>
    <w:uiPriority w:val="0"/>
    <w:qFormat/>
    <w:rPr>
      <w:rFonts w:ascii="Arial" w:hAnsi="Arial"/>
      <w:sz w:val="18"/>
      <w:szCs w:val="24"/>
    </w:rPr>
  </w:style>
  <w:style w:type="paragraph" w:styleId="1150" w:customStyle="1">
    <w:name w:val="Table Text"/>
    <w:basedOn w:val="944"/>
    <w:link w:val="1149"/>
    <w:uiPriority w:val="0"/>
    <w:qFormat/>
    <w:pPr>
      <w:spacing w:before="80" w:after="80"/>
      <w:widowControl/>
      <w:tabs>
        <w:tab w:val="decimal" w:pos="0" w:leader="none"/>
      </w:tabs>
    </w:pPr>
    <w:rPr>
      <w:rFonts w:ascii="Arial" w:hAnsi="Arial"/>
      <w:sz w:val="18"/>
    </w:rPr>
  </w:style>
  <w:style w:type="character" w:styleId="1151" w:customStyle="1">
    <w:name w:val="style591"/>
    <w:uiPriority w:val="0"/>
    <w:qFormat/>
    <w:rPr>
      <w:rFonts w:hint="default" w:ascii="Arial" w:hAnsi="Arial" w:cs="Arial"/>
      <w:sz w:val="21"/>
      <w:szCs w:val="21"/>
      <w:u w:val="none"/>
    </w:rPr>
  </w:style>
  <w:style w:type="character" w:styleId="1152" w:customStyle="1">
    <w:name w:val="标题二自定义 Char"/>
    <w:link w:val="1153"/>
    <w:uiPriority w:val="99"/>
    <w:qFormat/>
    <w:rPr>
      <w:rFonts w:ascii="宋体" w:hAnsi="宋体"/>
      <w:bCs/>
      <w:sz w:val="21"/>
      <w:szCs w:val="21"/>
    </w:rPr>
  </w:style>
  <w:style w:type="paragraph" w:styleId="1153" w:customStyle="1">
    <w:name w:val="标题二自定义"/>
    <w:basedOn w:val="946"/>
    <w:next w:val="944"/>
    <w:link w:val="1152"/>
    <w:uiPriority w:val="99"/>
    <w:qFormat/>
    <w:pPr>
      <w:ind w:firstLine="420"/>
      <w:keepLines w:val="0"/>
      <w:keepNext w:val="0"/>
      <w:spacing w:before="0" w:after="0" w:line="720" w:lineRule="auto"/>
      <w:outlineLvl w:val="9"/>
    </w:pPr>
    <w:rPr>
      <w:rFonts w:ascii="宋体" w:hAnsi="宋体" w:eastAsia="宋体"/>
      <w:b w:val="0"/>
      <w:sz w:val="21"/>
      <w:szCs w:val="21"/>
    </w:rPr>
  </w:style>
  <w:style w:type="character" w:styleId="1154" w:customStyle="1">
    <w:name w:val="批注主题 字符"/>
    <w:link w:val="957"/>
    <w:uiPriority w:val="99"/>
    <w:qFormat/>
    <w:rPr>
      <w:rFonts w:ascii="Calibri" w:hAnsi="Calibri"/>
      <w:b/>
      <w:bCs/>
      <w:sz w:val="21"/>
      <w:szCs w:val="24"/>
    </w:rPr>
  </w:style>
  <w:style w:type="character" w:styleId="1155" w:customStyle="1">
    <w:name w:val="标题 3 字符"/>
    <w:link w:val="947"/>
    <w:uiPriority w:val="9"/>
    <w:qFormat/>
    <w:rPr>
      <w:rFonts w:ascii="Calibri" w:hAnsi="Calibri"/>
      <w:b/>
      <w:bCs/>
      <w:sz w:val="32"/>
      <w:szCs w:val="32"/>
    </w:rPr>
  </w:style>
  <w:style w:type="character" w:styleId="1156" w:customStyle="1">
    <w:name w:val="p141"/>
    <w:uiPriority w:val="0"/>
    <w:qFormat/>
    <w:rPr>
      <w:color w:val="000000"/>
      <w:sz w:val="28"/>
      <w:szCs w:val="28"/>
      <w:u w:val="none"/>
    </w:rPr>
  </w:style>
  <w:style w:type="character" w:styleId="1157" w:customStyle="1">
    <w:name w:val="lh151"/>
    <w:uiPriority w:val="0"/>
    <w:qFormat/>
    <w:rPr>
      <w:color w:val="666666"/>
    </w:rPr>
  </w:style>
  <w:style w:type="character" w:styleId="1158" w:customStyle="1">
    <w:name w:val="页眉 字符"/>
    <w:link w:val="982"/>
    <w:uiPriority w:val="99"/>
    <w:qFormat/>
    <w:rPr>
      <w:rFonts w:ascii="Calibri" w:hAnsi="Calibri"/>
      <w:sz w:val="18"/>
      <w:szCs w:val="18"/>
    </w:rPr>
  </w:style>
  <w:style w:type="character" w:styleId="1159" w:customStyle="1">
    <w:name w:val="批注框文本 字符"/>
    <w:link w:val="978"/>
    <w:uiPriority w:val="99"/>
    <w:qFormat/>
    <w:rPr>
      <w:rFonts w:ascii="Calibri" w:hAnsi="Calibri"/>
      <w:sz w:val="18"/>
      <w:szCs w:val="18"/>
    </w:rPr>
  </w:style>
  <w:style w:type="character" w:styleId="1160" w:customStyle="1">
    <w:name w:val="列表段落 字符"/>
    <w:link w:val="1131"/>
    <w:uiPriority w:val="0"/>
    <w:qFormat/>
    <w:rPr>
      <w:rFonts w:ascii="Calibri" w:hAnsi="Calibri"/>
      <w:sz w:val="21"/>
    </w:rPr>
  </w:style>
  <w:style w:type="character" w:styleId="1161" w:customStyle="1">
    <w:name w:val="my正文 Char"/>
    <w:link w:val="1162"/>
    <w:uiPriority w:val="0"/>
    <w:qFormat/>
    <w:rPr>
      <w:sz w:val="24"/>
    </w:rPr>
  </w:style>
  <w:style w:type="paragraph" w:styleId="1162" w:customStyle="1">
    <w:name w:val="my正文"/>
    <w:basedOn w:val="944"/>
    <w:link w:val="1161"/>
    <w:uiPriority w:val="0"/>
    <w:qFormat/>
    <w:pPr>
      <w:ind w:firstLine="480"/>
      <w:spacing w:line="360" w:lineRule="auto"/>
    </w:pPr>
    <w:rPr>
      <w:rFonts w:ascii="Times New Roman" w:hAnsi="Times New Roman"/>
      <w:sz w:val="24"/>
      <w:szCs w:val="20"/>
    </w:rPr>
  </w:style>
  <w:style w:type="character" w:styleId="1163" w:customStyle="1">
    <w:name w:val="已访问的超链接1"/>
    <w:uiPriority w:val="99"/>
    <w:qFormat/>
    <w:rPr>
      <w:color w:val="999999"/>
      <w:u w:val="none"/>
    </w:rPr>
  </w:style>
  <w:style w:type="character" w:styleId="1164" w:customStyle="1">
    <w:name w:val="font31"/>
    <w:uiPriority w:val="0"/>
    <w:qFormat/>
    <w:rPr>
      <w:rFonts w:hint="default" w:ascii="Times New Roman" w:hAnsi="Times New Roman" w:cs="Times New Roman"/>
      <w:color w:val="000000"/>
      <w:sz w:val="21"/>
      <w:szCs w:val="21"/>
      <w:u w:val="none"/>
    </w:rPr>
  </w:style>
  <w:style w:type="character" w:styleId="1165" w:customStyle="1">
    <w:name w:val="font21"/>
    <w:uiPriority w:val="0"/>
    <w:qFormat/>
    <w:rPr>
      <w:rFonts w:hint="eastAsia" w:ascii="宋体" w:hAnsi="宋体" w:eastAsia="宋体" w:cs="宋体"/>
      <w:b/>
      <w:color w:val="000000"/>
      <w:sz w:val="21"/>
      <w:szCs w:val="21"/>
      <w:u w:val="none"/>
    </w:rPr>
  </w:style>
  <w:style w:type="character" w:styleId="1166" w:customStyle="1">
    <w:name w:val="Normal Indent Char"/>
    <w:uiPriority w:val="0"/>
    <w:qFormat/>
    <w:rPr>
      <w:rFonts w:ascii="Times New Roman" w:hAnsi="Times New Roman" w:eastAsia="楷体_GB2312" w:cs="Times New Roman"/>
      <w:sz w:val="20"/>
      <w:szCs w:val="20"/>
    </w:rPr>
  </w:style>
  <w:style w:type="paragraph" w:styleId="1167" w:customStyle="1">
    <w:name w:val="xl531"/>
    <w:basedOn w:val="944"/>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68" w:customStyle="1">
    <w:name w:val="a"/>
    <w:basedOn w:val="944"/>
    <w:uiPriority w:val="0"/>
    <w:qFormat/>
    <w:pPr>
      <w:jc w:val="left"/>
      <w:spacing w:before="100" w:beforeAutospacing="1" w:after="100" w:afterAutospacing="1"/>
      <w:widowControl/>
    </w:pPr>
    <w:rPr>
      <w:rFonts w:ascii="宋体" w:hAnsi="宋体" w:cs="宋体"/>
    </w:rPr>
  </w:style>
  <w:style w:type="paragraph" w:styleId="1169" w:customStyle="1">
    <w:name w:val="xl68"/>
    <w:basedOn w:val="94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170" w:customStyle="1">
    <w:name w:val="正文2"/>
    <w:basedOn w:val="944"/>
    <w:uiPriority w:val="0"/>
    <w:qFormat/>
    <w:pPr>
      <w:ind w:firstLine="200"/>
      <w:jc w:val="left"/>
      <w:spacing w:after="160" w:line="360" w:lineRule="auto"/>
      <w:widowControl/>
    </w:pPr>
    <w:rPr>
      <w:rFonts w:ascii="Verdana" w:hAnsi="Verdana" w:eastAsia="黑体"/>
      <w:szCs w:val="20"/>
      <w:lang w:eastAsia="en-US"/>
    </w:rPr>
  </w:style>
  <w:style w:type="paragraph" w:styleId="1171" w:customStyle="1">
    <w:name w:val="xl510"/>
    <w:basedOn w:val="944"/>
    <w:uiPriority w:val="0"/>
    <w:qFormat/>
    <w:pPr>
      <w:jc w:val="center"/>
      <w:spacing w:before="100" w:beforeAutospacing="1" w:after="100" w:afterAutospacing="1"/>
      <w:shd w:val="clear" w:color="000000" w:fill="ffff00"/>
      <w:widowControl/>
    </w:pPr>
    <w:rPr>
      <w:rFonts w:ascii="宋体" w:hAnsi="宋体" w:cs="宋体"/>
      <w:color w:val="000000"/>
    </w:rPr>
  </w:style>
  <w:style w:type="paragraph" w:styleId="1172" w:customStyle="1">
    <w:name w:val="xl516"/>
    <w:basedOn w:val="944"/>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173" w:customStyle="1">
    <w:name w:val="afont"/>
    <w:basedOn w:val="944"/>
    <w:uiPriority w:val="0"/>
    <w:qFormat/>
    <w:pPr>
      <w:jc w:val="left"/>
      <w:spacing w:before="100" w:after="100" w:line="285" w:lineRule="atLeast"/>
      <w:widowControl/>
    </w:pPr>
    <w:rPr>
      <w:rFonts w:ascii="宋体" w:hAnsi="宋体"/>
      <w:sz w:val="18"/>
      <w:szCs w:val="20"/>
    </w:rPr>
  </w:style>
  <w:style w:type="paragraph" w:styleId="1174" w:customStyle="1">
    <w:name w:val="xl513"/>
    <w:basedOn w:val="944"/>
    <w:uiPriority w:val="0"/>
    <w:qFormat/>
    <w:pPr>
      <w:jc w:val="left"/>
      <w:spacing w:before="100" w:beforeAutospacing="1" w:after="100" w:afterAutospacing="1"/>
      <w:shd w:val="clear" w:color="000000" w:fill="ffffff"/>
      <w:widowControl/>
    </w:pPr>
    <w:rPr>
      <w:rFonts w:ascii="宋体" w:hAnsi="宋体" w:cs="宋体"/>
    </w:rPr>
  </w:style>
  <w:style w:type="paragraph" w:styleId="1175" w:customStyle="1">
    <w:name w:val="xl70"/>
    <w:basedOn w:val="944"/>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176" w:customStyle="1">
    <w:name w:val="xl69"/>
    <w:basedOn w:val="94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177" w:customStyle="1">
    <w:name w:val="xl517"/>
    <w:basedOn w:val="944"/>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78" w:customStyle="1">
    <w:name w:val="财政-标题一"/>
    <w:basedOn w:val="944"/>
    <w:uiPriority w:val="0"/>
    <w:qFormat/>
    <w:pPr>
      <w:outlineLvl w:val="0"/>
    </w:pPr>
    <w:rPr>
      <w:rFonts w:eastAsia="华文中宋"/>
      <w:b/>
      <w:sz w:val="44"/>
      <w:szCs w:val="21"/>
    </w:rPr>
  </w:style>
  <w:style w:type="paragraph" w:styleId="1179" w:customStyle="1">
    <w:name w:val="1"/>
    <w:basedOn w:val="944"/>
    <w:uiPriority w:val="0"/>
    <w:qFormat/>
    <w:pPr>
      <w:ind w:left="432" w:hanging="432"/>
      <w:tabs>
        <w:tab w:val="left" w:pos="432" w:leader="none"/>
        <w:tab w:val="left" w:pos="1545" w:leader="none"/>
      </w:tabs>
    </w:pPr>
    <w:rPr>
      <w:rFonts w:ascii="宋体" w:hAnsi="宋体"/>
    </w:rPr>
  </w:style>
  <w:style w:type="paragraph" w:styleId="1180" w:customStyle="1">
    <w:name w:val="表格表头"/>
    <w:basedOn w:val="944"/>
    <w:uiPriority w:val="0"/>
    <w:qFormat/>
    <w:pPr>
      <w:jc w:val="center"/>
      <w:spacing w:line="360" w:lineRule="auto"/>
      <w:outlineLvl w:val="0"/>
    </w:pPr>
    <w:rPr>
      <w:rFonts w:ascii="宋体" w:hAnsi="宋体" w:eastAsia="黑体" w:cs="宋体"/>
      <w:szCs w:val="21"/>
    </w:rPr>
  </w:style>
  <w:style w:type="paragraph" w:styleId="1181" w:customStyle="1">
    <w:name w:val="表格文字"/>
    <w:basedOn w:val="1182"/>
    <w:uiPriority w:val="0"/>
    <w:qFormat/>
    <w:rPr>
      <w:rFonts w:ascii="Times New Roman" w:hAnsi="Times New Roman"/>
    </w:rPr>
  </w:style>
  <w:style w:type="paragraph" w:styleId="1182" w:customStyle="1">
    <w:name w:val="表格文字（两侧对齐）"/>
    <w:basedOn w:val="944"/>
    <w:uiPriority w:val="0"/>
    <w:qFormat/>
    <w:pPr>
      <w:jc w:val="left"/>
    </w:pPr>
    <w:rPr>
      <w:sz w:val="20"/>
    </w:rPr>
  </w:style>
  <w:style w:type="paragraph" w:styleId="1183" w:customStyle="1">
    <w:name w:val="xl539"/>
    <w:basedOn w:val="9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84" w:customStyle="1">
    <w:name w:val="xl73"/>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185" w:customStyle="1">
    <w:name w:val="标题五自定义"/>
    <w:basedOn w:val="944"/>
    <w:uiPriority w:val="0"/>
    <w:qFormat/>
    <w:pPr>
      <w:ind w:left="1985" w:hanging="992"/>
      <w:tabs>
        <w:tab w:val="left" w:pos="1985" w:leader="none"/>
      </w:tabs>
    </w:pPr>
    <w:rPr>
      <w:szCs w:val="22"/>
    </w:rPr>
  </w:style>
  <w:style w:type="paragraph" w:styleId="1186" w:customStyle="1">
    <w:name w:val="xl67"/>
    <w:basedOn w:val="9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87" w:customStyle="1">
    <w:name w:val="xl532"/>
    <w:basedOn w:val="9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88" w:customStyle="1">
    <w:name w:val="财政-标题三"/>
    <w:basedOn w:val="1189"/>
    <w:uiPriority w:val="0"/>
    <w:qFormat/>
    <w:pPr>
      <w:outlineLvl w:val="2"/>
    </w:pPr>
    <w:rPr>
      <w:sz w:val="32"/>
    </w:rPr>
  </w:style>
  <w:style w:type="paragraph" w:styleId="1189" w:customStyle="1">
    <w:name w:val="财政-标题二"/>
    <w:basedOn w:val="1178"/>
    <w:uiPriority w:val="0"/>
    <w:qFormat/>
    <w:pPr>
      <w:outlineLvl w:val="1"/>
    </w:pPr>
    <w:rPr>
      <w:sz w:val="36"/>
    </w:rPr>
  </w:style>
  <w:style w:type="paragraph" w:styleId="1190" w:customStyle="1">
    <w:name w:val="Char1 Char Char Char"/>
    <w:basedOn w:val="944"/>
    <w:uiPriority w:val="0"/>
    <w:qFormat/>
    <w:pPr>
      <w:ind w:left="840" w:hanging="420"/>
      <w:tabs>
        <w:tab w:val="left" w:pos="840" w:leader="none"/>
      </w:tabs>
    </w:pPr>
    <w:rPr>
      <w:rFonts w:ascii="Times New Roman" w:hAnsi="Times New Roman"/>
    </w:rPr>
  </w:style>
  <w:style w:type="paragraph" w:styleId="1191" w:customStyle="1">
    <w:name w:val="xl534"/>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92" w:customStyle="1">
    <w:name w:val="正文段"/>
    <w:basedOn w:val="944"/>
    <w:uiPriority w:val="0"/>
    <w:qFormat/>
    <w:pPr>
      <w:ind w:firstLine="454"/>
      <w:spacing w:after="240" w:line="240" w:lineRule="atLeast"/>
      <w:widowControl/>
    </w:pPr>
    <w:rPr>
      <w:rFonts w:ascii="宋体" w:hAnsi="Times New Roman"/>
      <w:szCs w:val="20"/>
    </w:rPr>
  </w:style>
  <w:style w:type="paragraph" w:styleId="1193" w:customStyle="1">
    <w:name w:val="_Style 72"/>
    <w:next w:val="944"/>
    <w:uiPriority w:val="99"/>
    <w:qFormat/>
    <w:pPr>
      <w:jc w:val="both"/>
      <w:widowControl w:val="off"/>
    </w:pPr>
    <w:rPr>
      <w:rFonts w:ascii="宋体" w:hAnsi="宋体" w:eastAsia="宋体" w:cs="Times New Roman"/>
      <w:sz w:val="24"/>
      <w:szCs w:val="24"/>
      <w:lang w:val="en-US" w:eastAsia="zh-CN" w:bidi="ar-SA"/>
    </w:rPr>
  </w:style>
  <w:style w:type="paragraph" w:styleId="1194" w:customStyle="1">
    <w:name w:val="Normal_541"/>
    <w:next w:val="944"/>
    <w:uiPriority w:val="0"/>
    <w:qFormat/>
    <w:pPr>
      <w:jc w:val="both"/>
      <w:widowControl w:val="off"/>
    </w:pPr>
    <w:rPr>
      <w:rFonts w:ascii="Times New Roman" w:hAnsi="Times New Roman" w:eastAsia="宋体" w:cs="Times New Roman"/>
      <w:sz w:val="21"/>
      <w:szCs w:val="21"/>
      <w:lang w:val="en-US" w:eastAsia="zh-CN" w:bidi="ar-SA"/>
    </w:rPr>
  </w:style>
  <w:style w:type="paragraph" w:styleId="1195" w:customStyle="1">
    <w:name w:val="xl522"/>
    <w:basedOn w:val="9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96" w:customStyle="1">
    <w:name w:val="xl541"/>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97" w:customStyle="1">
    <w:name w:val="xl537"/>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98" w:customStyle="1">
    <w:name w:val="xl512"/>
    <w:basedOn w:val="944"/>
    <w:uiPriority w:val="0"/>
    <w:qFormat/>
    <w:pPr>
      <w:jc w:val="center"/>
      <w:spacing w:before="100" w:beforeAutospacing="1" w:after="100" w:afterAutospacing="1"/>
      <w:widowControl/>
    </w:pPr>
    <w:rPr>
      <w:rFonts w:ascii="宋体" w:hAnsi="宋体" w:cs="宋体"/>
      <w:color w:val="000000"/>
    </w:rPr>
  </w:style>
  <w:style w:type="paragraph" w:styleId="1199" w:customStyle="1">
    <w:name w:val="xl71"/>
    <w:basedOn w:val="944"/>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200" w:customStyle="1">
    <w:name w:val="xl509"/>
    <w:basedOn w:val="944"/>
    <w:uiPriority w:val="0"/>
    <w:qFormat/>
    <w:pPr>
      <w:jc w:val="center"/>
      <w:spacing w:before="100" w:beforeAutospacing="1" w:after="100" w:afterAutospacing="1"/>
      <w:shd w:val="clear" w:color="000000" w:fill="ffffff"/>
      <w:widowControl/>
    </w:pPr>
    <w:rPr>
      <w:rFonts w:ascii="宋体" w:hAnsi="宋体" w:cs="宋体"/>
      <w:color w:val="000000"/>
    </w:rPr>
  </w:style>
  <w:style w:type="paragraph" w:styleId="1201" w:customStyle="1">
    <w:name w:val="xl528"/>
    <w:basedOn w:val="9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02" w:customStyle="1">
    <w:name w:val="xl529"/>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03" w:customStyle="1">
    <w:name w:val="xl523"/>
    <w:basedOn w:val="9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204" w:customStyle="1">
    <w:name w:val="标题一自定义"/>
    <w:basedOn w:val="945"/>
    <w:next w:val="944"/>
    <w:uiPriority w:val="99"/>
    <w:qFormat/>
    <w:pPr>
      <w:ind w:left="425" w:hanging="425"/>
      <w:pageBreakBefore/>
      <w:spacing w:before="0" w:after="0" w:line="360" w:lineRule="auto"/>
      <w:tabs>
        <w:tab w:val="left" w:pos="432" w:leader="none"/>
        <w:tab w:val="left" w:pos="1440" w:leader="none"/>
      </w:tabs>
    </w:pPr>
    <w:rPr>
      <w:rFonts w:eastAsia="黑体"/>
      <w:b w:val="0"/>
    </w:rPr>
  </w:style>
  <w:style w:type="paragraph" w:styleId="1205" w:customStyle="1">
    <w:name w:val="TOC 标题1"/>
    <w:basedOn w:val="945"/>
    <w:next w:val="944"/>
    <w:uiPriority w:val="39"/>
    <w:qFormat/>
    <w:pPr>
      <w:jc w:val="left"/>
      <w:spacing w:before="240" w:after="0" w:line="259" w:lineRule="auto"/>
      <w:widowControl/>
      <w:outlineLvl w:val="9"/>
    </w:pPr>
    <w:rPr>
      <w:rFonts w:ascii="Times New Roman" w:hAnsi="Times New Roman" w:eastAsia="黑体"/>
      <w:b w:val="0"/>
      <w:bCs w:val="0"/>
      <w:color w:val="365f91"/>
      <w:sz w:val="32"/>
      <w:szCs w:val="32"/>
    </w:rPr>
  </w:style>
  <w:style w:type="paragraph" w:styleId="1206" w:customStyle="1">
    <w:name w:val="xl538"/>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07" w:customStyle="1">
    <w:name w:val="xl527"/>
    <w:basedOn w:val="944"/>
    <w:uiPriority w:val="0"/>
    <w:qFormat/>
    <w:pPr>
      <w:spacing w:before="100" w:beforeAutospacing="1" w:after="100" w:afterAutospacing="1"/>
      <w:widowControl/>
    </w:pPr>
    <w:rPr>
      <w:rFonts w:ascii="宋体" w:hAnsi="宋体" w:cs="宋体"/>
      <w:color w:val="ff0000"/>
    </w:rPr>
  </w:style>
  <w:style w:type="paragraph" w:styleId="1208" w:customStyle="1">
    <w:name w:val="Plain Text*"/>
    <w:basedOn w:val="944"/>
    <w:uiPriority w:val="6"/>
    <w:qFormat/>
    <w:pPr>
      <w:jc w:val="left"/>
      <w:widowControl/>
    </w:pPr>
    <w:rPr>
      <w:rFonts w:ascii="宋体" w:hAnsi="宋体" w:eastAsia="楷体_GB2312" w:cs="Courier New"/>
      <w:sz w:val="26"/>
      <w:szCs w:val="20"/>
      <w:lang w:val="zh-CN"/>
    </w:rPr>
  </w:style>
  <w:style w:type="paragraph" w:styleId="1209" w:customStyle="1">
    <w:name w:val="xl511"/>
    <w:basedOn w:val="944"/>
    <w:uiPriority w:val="0"/>
    <w:qFormat/>
    <w:pPr>
      <w:jc w:val="center"/>
      <w:spacing w:before="100" w:beforeAutospacing="1" w:after="100" w:afterAutospacing="1"/>
      <w:widowControl/>
    </w:pPr>
    <w:rPr>
      <w:rFonts w:ascii="宋体" w:hAnsi="宋体" w:cs="宋体"/>
      <w:color w:val="ff0000"/>
    </w:rPr>
  </w:style>
  <w:style w:type="paragraph" w:styleId="1210" w:customStyle="1">
    <w:name w:val="列出段落3"/>
    <w:basedOn w:val="944"/>
    <w:uiPriority w:val="0"/>
    <w:qFormat/>
    <w:pPr>
      <w:ind w:firstLine="420"/>
    </w:pPr>
    <w:rPr>
      <w:rFonts w:ascii="Times New Roman" w:hAnsi="Times New Roman" w:eastAsia="文鼎CS仿宋体"/>
      <w:spacing w:val="-4"/>
      <w:sz w:val="32"/>
    </w:rPr>
  </w:style>
  <w:style w:type="paragraph" w:styleId="1211" w:customStyle="1">
    <w:name w:val="列出段落2"/>
    <w:basedOn w:val="944"/>
    <w:uiPriority w:val="0"/>
    <w:qFormat/>
    <w:pPr>
      <w:ind w:firstLine="420"/>
    </w:pPr>
    <w:rPr>
      <w:rFonts w:ascii="宋体" w:hAnsi="宋体"/>
    </w:rPr>
  </w:style>
  <w:style w:type="paragraph" w:styleId="1212" w:customStyle="1">
    <w:name w:val="Table Paragraph"/>
    <w:basedOn w:val="944"/>
    <w:uiPriority w:val="1"/>
    <w:qFormat/>
    <w:rPr>
      <w:rFonts w:ascii="宋体" w:hAnsi="宋体"/>
    </w:rPr>
  </w:style>
  <w:style w:type="paragraph" w:styleId="1213" w:customStyle="1">
    <w:name w:val="xl519"/>
    <w:basedOn w:val="9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14" w:customStyle="1">
    <w:name w:val="xl524"/>
    <w:basedOn w:val="944"/>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15" w:customStyle="1">
    <w:name w:val="标题四自定义"/>
    <w:basedOn w:val="944"/>
    <w:uiPriority w:val="99"/>
    <w:qFormat/>
    <w:pPr>
      <w:ind w:left="738" w:hanging="738"/>
      <w:tabs>
        <w:tab w:val="left" w:pos="1134" w:leader="none"/>
      </w:tabs>
    </w:pPr>
    <w:rPr>
      <w:szCs w:val="22"/>
    </w:rPr>
  </w:style>
  <w:style w:type="paragraph" w:styleId="1216" w:customStyle="1">
    <w:name w:val="font8"/>
    <w:basedOn w:val="944"/>
    <w:uiPriority w:val="0"/>
    <w:qFormat/>
    <w:pPr>
      <w:jc w:val="left"/>
      <w:spacing w:before="100" w:beforeAutospacing="1" w:after="100" w:afterAutospacing="1"/>
      <w:widowControl/>
    </w:pPr>
    <w:rPr>
      <w:rFonts w:ascii="宋体" w:hAnsi="宋体" w:cs="宋体"/>
      <w:sz w:val="18"/>
      <w:szCs w:val="18"/>
    </w:rPr>
  </w:style>
  <w:style w:type="paragraph" w:styleId="1217" w:customStyle="1">
    <w:name w:val="Item Step"/>
    <w:basedOn w:val="944"/>
    <w:uiPriority w:val="0"/>
    <w:qFormat/>
    <w:pPr>
      <w:ind w:left="1701" w:hanging="567"/>
      <w:jc w:val="left"/>
      <w:widowControl/>
      <w:tabs>
        <w:tab w:val="left" w:pos="1440" w:leader="none"/>
      </w:tabs>
    </w:pPr>
    <w:rPr>
      <w:rFonts w:ascii="Times New Roman" w:hAnsi="Times New Roman"/>
    </w:rPr>
  </w:style>
  <w:style w:type="paragraph" w:styleId="1218" w:customStyle="1">
    <w:name w:val="大标题"/>
    <w:basedOn w:val="944"/>
    <w:uiPriority w:val="0"/>
    <w:qFormat/>
    <w:pPr>
      <w:jc w:val="center"/>
    </w:pPr>
    <w:rPr>
      <w:rFonts w:ascii="Times New Roman" w:hAnsi="Times New Roman" w:eastAsia="黑体" w:cs="宋体"/>
      <w:sz w:val="44"/>
      <w:szCs w:val="20"/>
    </w:rPr>
  </w:style>
  <w:style w:type="paragraph" w:styleId="1219" w:customStyle="1">
    <w:name w:val="xl75"/>
    <w:basedOn w:val="944"/>
    <w:uiPriority w:val="0"/>
    <w:qFormat/>
    <w:pPr>
      <w:jc w:val="center"/>
      <w:spacing w:before="100" w:beforeAutospacing="1" w:after="100" w:afterAutospacing="1"/>
      <w:widowControl/>
    </w:pPr>
    <w:rPr>
      <w:rFonts w:ascii="Times New Roman" w:hAnsi="Times New Roman"/>
      <w:szCs w:val="21"/>
    </w:rPr>
  </w:style>
  <w:style w:type="paragraph" w:styleId="1220" w:customStyle="1">
    <w:name w:val="投标文件正文"/>
    <w:basedOn w:val="944"/>
    <w:uiPriority w:val="0"/>
    <w:qFormat/>
    <w:pPr>
      <w:ind w:firstLine="560"/>
      <w:spacing w:line="440" w:lineRule="exact"/>
    </w:pPr>
    <w:rPr>
      <w:rFonts w:ascii="仿宋_GB2312" w:hAnsi="Times New Roman" w:eastAsia="仿宋_GB2312"/>
      <w:bCs/>
      <w:sz w:val="28"/>
      <w:szCs w:val="28"/>
    </w:rPr>
  </w:style>
  <w:style w:type="paragraph" w:styleId="1221" w:customStyle="1">
    <w:name w:val="样式1"/>
    <w:basedOn w:val="945"/>
    <w:uiPriority w:val="0"/>
    <w:qFormat/>
    <w:pPr>
      <w:jc w:val="center"/>
      <w:spacing w:before="120" w:after="120" w:line="480" w:lineRule="auto"/>
    </w:pPr>
    <w:rPr>
      <w:rFonts w:ascii="Times New Roman" w:hAnsi="Times New Roman" w:eastAsia="黑体"/>
      <w:b w:val="0"/>
      <w:iCs/>
      <w:sz w:val="32"/>
      <w:szCs w:val="32"/>
    </w:rPr>
  </w:style>
  <w:style w:type="paragraph" w:styleId="1222" w:customStyle="1">
    <w:name w:val="xl530"/>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23" w:customStyle="1">
    <w:name w:val="财政-标题四"/>
    <w:basedOn w:val="1188"/>
    <w:uiPriority w:val="0"/>
    <w:qFormat/>
    <w:pPr>
      <w:outlineLvl w:val="3"/>
    </w:pPr>
    <w:rPr>
      <w:sz w:val="30"/>
    </w:rPr>
  </w:style>
  <w:style w:type="paragraph" w:styleId="1224" w:customStyle="1">
    <w:name w:val="xl521"/>
    <w:basedOn w:val="94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25" w:customStyle="1">
    <w:name w:val="xl536"/>
    <w:basedOn w:val="944"/>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26" w:customStyle="1">
    <w:name w:val="xl525"/>
    <w:basedOn w:val="944"/>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27" w:customStyle="1">
    <w:name w:val="列出段落4"/>
    <w:basedOn w:val="944"/>
    <w:uiPriority w:val="0"/>
    <w:qFormat/>
    <w:pPr>
      <w:ind w:firstLine="420"/>
      <w:spacing w:line="360" w:lineRule="auto"/>
    </w:pPr>
    <w:rPr>
      <w:rFonts w:ascii="Times New Roman" w:hAnsi="Times New Roman"/>
      <w:szCs w:val="22"/>
    </w:rPr>
  </w:style>
  <w:style w:type="paragraph" w:styleId="1228" w:customStyle="1">
    <w:name w:val="xl74"/>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29" w:customStyle="1">
    <w:name w:val="xl526"/>
    <w:basedOn w:val="944"/>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30" w:customStyle="1">
    <w:name w:val="正文 New"/>
    <w:uiPriority w:val="0"/>
    <w:qFormat/>
    <w:pPr>
      <w:jc w:val="both"/>
      <w:widowControl w:val="off"/>
    </w:pPr>
    <w:rPr>
      <w:rFonts w:ascii="Cambria" w:hAnsi="Cambria" w:eastAsia="宋体" w:cs="Times New Roman"/>
      <w:sz w:val="21"/>
      <w:szCs w:val="24"/>
      <w:lang w:val="en-US" w:eastAsia="zh-CN" w:bidi="ar-SA"/>
    </w:rPr>
  </w:style>
  <w:style w:type="paragraph" w:styleId="1231" w:customStyle="1">
    <w:name w:val="三级标题3"/>
    <w:basedOn w:val="947"/>
    <w:uiPriority w:val="0"/>
    <w:qFormat/>
    <w:pPr>
      <w:ind w:left="5670" w:hanging="709"/>
      <w:keepNext w:val="0"/>
      <w:spacing w:before="120" w:after="120" w:line="360" w:lineRule="auto"/>
      <w:widowControl/>
      <w:tabs>
        <w:tab w:val="left" w:pos="5812" w:leader="none"/>
      </w:tabs>
    </w:pPr>
    <w:rPr>
      <w:rFonts w:ascii="宋体" w:hAnsi="宋体"/>
      <w:caps/>
      <w:color w:val="000000"/>
      <w:szCs w:val="24"/>
    </w:rPr>
  </w:style>
  <w:style w:type="paragraph" w:styleId="1232" w:customStyle="1">
    <w:name w:val="手册正文"/>
    <w:basedOn w:val="944"/>
    <w:uiPriority w:val="0"/>
    <w:qFormat/>
    <w:pPr>
      <w:ind w:firstLine="200"/>
      <w:spacing w:line="500" w:lineRule="exact"/>
    </w:pPr>
    <w:rPr>
      <w:rFonts w:ascii="Arial" w:hAnsi="Arial"/>
      <w:szCs w:val="20"/>
    </w:rPr>
  </w:style>
  <w:style w:type="paragraph" w:styleId="1233" w:customStyle="1">
    <w:name w:val="xl518"/>
    <w:basedOn w:val="944"/>
    <w:uiPriority w:val="0"/>
    <w:qFormat/>
    <w:pPr>
      <w:jc w:val="left"/>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b/>
      <w:bCs/>
      <w:color w:val="000000"/>
    </w:rPr>
  </w:style>
  <w:style w:type="paragraph" w:styleId="1234" w:customStyle="1">
    <w:name w:val="纯文本11"/>
    <w:basedOn w:val="944"/>
    <w:uiPriority w:val="0"/>
    <w:qFormat/>
    <w:rPr>
      <w:rFonts w:ascii="宋体" w:hAnsi="Courier New" w:eastAsia="楷体_GB2312"/>
      <w:sz w:val="28"/>
      <w:szCs w:val="20"/>
    </w:rPr>
  </w:style>
  <w:style w:type="paragraph" w:styleId="1235" w:customStyle="1">
    <w:name w:val="Bullet"/>
    <w:basedOn w:val="944"/>
    <w:uiPriority w:val="0"/>
    <w:qFormat/>
    <w:pPr>
      <w:ind w:firstLine="420"/>
      <w:spacing w:before="60" w:after="60" w:line="288" w:lineRule="auto"/>
      <w:widowControl/>
    </w:pPr>
    <w:rPr>
      <w:rFonts w:ascii="宋体" w:hAnsi="宋体"/>
      <w:bCs/>
      <w:szCs w:val="21"/>
    </w:rPr>
  </w:style>
  <w:style w:type="paragraph" w:styleId="1236" w:customStyle="1">
    <w:name w:val="xl535"/>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37" w:customStyle="1">
    <w:name w:val="zhengwen3"/>
    <w:basedOn w:val="1170"/>
    <w:uiPriority w:val="0"/>
    <w:qFormat/>
    <w:pPr>
      <w:ind w:left="738" w:hanging="738"/>
      <w:jc w:val="both"/>
      <w:spacing w:after="0" w:line="240" w:lineRule="auto"/>
      <w:widowControl w:val="off"/>
      <w:tabs>
        <w:tab w:val="left" w:pos="0" w:leader="none"/>
        <w:tab w:val="left" w:pos="1134" w:leader="none"/>
      </w:tabs>
    </w:pPr>
    <w:rPr>
      <w:rFonts w:ascii="Times New Roman" w:hAnsi="Times New Roman" w:eastAsia="宋体"/>
      <w:sz w:val="24"/>
      <w:szCs w:val="21"/>
      <w:lang w:eastAsia="zh-CN"/>
    </w:rPr>
  </w:style>
  <w:style w:type="paragraph" w:styleId="1238" w:customStyle="1">
    <w:name w:val="xl514"/>
    <w:basedOn w:val="944"/>
    <w:uiPriority w:val="0"/>
    <w:qFormat/>
    <w:pPr>
      <w:jc w:val="left"/>
      <w:spacing w:before="100" w:beforeAutospacing="1" w:after="100" w:afterAutospacing="1"/>
      <w:shd w:val="clear" w:color="000000" w:fill="ffffff"/>
      <w:widowControl/>
    </w:pPr>
    <w:rPr>
      <w:rFonts w:ascii="宋体" w:hAnsi="宋体" w:cs="宋体"/>
    </w:rPr>
  </w:style>
  <w:style w:type="paragraph" w:styleId="1239" w:customStyle="1">
    <w:name w:val="xl72"/>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240" w:customStyle="1">
    <w:name w:val="xl520"/>
    <w:basedOn w:val="94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41">
    <w:name w:val="No Spacing"/>
    <w:basedOn w:val="944"/>
    <w:uiPriority w:val="1"/>
    <w:qFormat/>
    <w:pPr>
      <w:jc w:val="left"/>
      <w:widowControl/>
    </w:pPr>
    <w:rPr>
      <w:sz w:val="24"/>
      <w:szCs w:val="32"/>
      <w:lang w:eastAsia="en-US" w:bidi="en-US"/>
    </w:rPr>
  </w:style>
  <w:style w:type="paragraph" w:styleId="1242" w:customStyle="1">
    <w:name w:val="Javis"/>
    <w:basedOn w:val="944"/>
    <w:uiPriority w:val="0"/>
    <w:qFormat/>
    <w:pPr>
      <w:ind w:left="15" w:right="15" w:firstLine="480"/>
      <w:spacing w:line="360" w:lineRule="auto"/>
    </w:pPr>
    <w:rPr>
      <w:rFonts w:ascii="Times New Roman" w:hAnsi="Times New Roman" w:cs="宋体"/>
      <w:szCs w:val="20"/>
    </w:rPr>
  </w:style>
  <w:style w:type="paragraph" w:styleId="1243" w:customStyle="1">
    <w:name w:val="样式 正文文本缩进 2 + Times New Roman 首行缩进:  1.06 厘米 行距: 固定值 30 磅"/>
    <w:basedOn w:val="977"/>
    <w:uiPriority w:val="0"/>
    <w:qFormat/>
    <w:pPr>
      <w:ind w:left="0" w:firstLine="601"/>
      <w:spacing w:line="540" w:lineRule="exact"/>
      <w:tabs>
        <w:tab w:val="clear" w:pos="630" w:leader="none"/>
      </w:tabs>
    </w:pPr>
    <w:rPr>
      <w:rFonts w:ascii="Times New Roman" w:hAnsi="Times New Roman"/>
      <w:sz w:val="28"/>
      <w:szCs w:val="28"/>
    </w:rPr>
  </w:style>
  <w:style w:type="paragraph" w:styleId="1244" w:customStyle="1">
    <w:name w:val="xl515"/>
    <w:basedOn w:val="944"/>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245" w:customStyle="1">
    <w:name w:val="列出段落111"/>
    <w:basedOn w:val="944"/>
    <w:uiPriority w:val="0"/>
    <w:qFormat/>
    <w:pPr>
      <w:ind w:firstLine="420"/>
    </w:pPr>
    <w:rPr>
      <w:szCs w:val="20"/>
    </w:rPr>
  </w:style>
  <w:style w:type="paragraph" w:styleId="1246" w:customStyle="1">
    <w:name w:val="xl540"/>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47" w:customStyle="1">
    <w:name w:val="p25"/>
    <w:basedOn w:val="944"/>
    <w:uiPriority w:val="0"/>
    <w:qFormat/>
    <w:pPr>
      <w:jc w:val="left"/>
      <w:widowControl/>
    </w:pPr>
    <w:rPr>
      <w:rFonts w:ascii="黑体" w:hAnsi="黑体" w:eastAsia="黑体" w:cs="黑体"/>
      <w:sz w:val="26"/>
      <w:szCs w:val="26"/>
    </w:rPr>
  </w:style>
  <w:style w:type="paragraph" w:styleId="1248" w:customStyle="1">
    <w:name w:val="xl533"/>
    <w:basedOn w:val="9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49" w:customStyle="1">
    <w:name w:val="一级条标题"/>
    <w:basedOn w:val="944"/>
    <w:next w:val="1012"/>
    <w:uiPriority w:val="0"/>
    <w:qFormat/>
    <w:pPr>
      <w:ind w:left="420"/>
      <w:widowControl/>
      <w:outlineLvl w:val="2"/>
    </w:pPr>
    <w:rPr>
      <w:rFonts w:ascii="黑体" w:hAnsi="Calibri" w:eastAsia="黑体" w:cs="黑体"/>
      <w:szCs w:val="21"/>
    </w:rPr>
  </w:style>
  <w:style w:type="character" w:styleId="1250" w:customStyle="1">
    <w:name w:val="NormalCharacter"/>
    <w:uiPriority w:val="0"/>
    <w:qFormat/>
    <w:rPr>
      <w:rFonts w:ascii="Calibri" w:hAnsi="Calibri" w:eastAsia="宋体" w:cs="Times New Roman"/>
    </w:rPr>
  </w:style>
  <w:style w:type="paragraph" w:styleId="1251" w:customStyle="1">
    <w:name w:val="正文首行缩进 21"/>
    <w:basedOn w:val="1252"/>
    <w:next w:val="1254"/>
    <w:uiPriority w:val="0"/>
    <w:qFormat/>
    <w:pPr>
      <w:ind w:left="420" w:firstLine="420"/>
      <w:spacing w:after="120" w:line="480" w:lineRule="exact"/>
    </w:pPr>
    <w:rPr>
      <w:szCs w:val="20"/>
    </w:rPr>
  </w:style>
  <w:style w:type="paragraph" w:styleId="1252" w:customStyle="1">
    <w:name w:val="正文文本缩进11"/>
    <w:basedOn w:val="944"/>
    <w:next w:val="1253"/>
    <w:uiPriority w:val="0"/>
    <w:qFormat/>
    <w:pPr>
      <w:ind w:firstLine="570"/>
      <w:spacing w:line="360" w:lineRule="auto"/>
    </w:pPr>
    <w:rPr>
      <w:sz w:val="24"/>
    </w:rPr>
  </w:style>
  <w:style w:type="paragraph" w:styleId="1253" w:customStyle="1">
    <w:name w:val="寄信人地址1"/>
    <w:basedOn w:val="944"/>
    <w:uiPriority w:val="0"/>
    <w:qFormat/>
    <w:rPr>
      <w:rFonts w:ascii="Arial" w:hAnsi="Arial"/>
    </w:rPr>
  </w:style>
  <w:style w:type="paragraph" w:styleId="1254" w:customStyle="1">
    <w:name w:val="正文文本 21"/>
    <w:basedOn w:val="944"/>
    <w:next w:val="1255"/>
    <w:uiPriority w:val="99"/>
    <w:qFormat/>
    <w:pPr>
      <w:jc w:val="center"/>
      <w:widowControl/>
    </w:pPr>
    <w:rPr>
      <w:rFonts w:ascii="Arial" w:hAnsi="Arial" w:cs="Arial"/>
      <w:sz w:val="20"/>
      <w:szCs w:val="20"/>
    </w:rPr>
  </w:style>
  <w:style w:type="paragraph" w:styleId="1255" w:customStyle="1">
    <w:name w:val="正文文本缩进 31"/>
    <w:basedOn w:val="944"/>
    <w:next w:val="1256"/>
    <w:uiPriority w:val="0"/>
    <w:qFormat/>
    <w:pPr>
      <w:ind w:left="720" w:firstLine="480"/>
      <w:jc w:val="left"/>
      <w:spacing w:before="120" w:line="22" w:lineRule="atLeast"/>
    </w:pPr>
    <w:rPr>
      <w:rFonts w:ascii="宋体"/>
      <w:sz w:val="24"/>
      <w:szCs w:val="20"/>
    </w:rPr>
  </w:style>
  <w:style w:type="paragraph" w:styleId="1256" w:customStyle="1">
    <w:name w:val="页眉1"/>
    <w:basedOn w:val="944"/>
    <w:next w:val="1257"/>
    <w:uiPriority w:val="0"/>
    <w:qFormat/>
    <w:pPr>
      <w:jc w:val="center"/>
      <w:tabs>
        <w:tab w:val="center" w:pos="4153" w:leader="none"/>
        <w:tab w:val="right" w:pos="8306" w:leader="none"/>
      </w:tabs>
      <w:pBdr>
        <w:bottom w:val="single" w:color="000000" w:sz="6" w:space="1"/>
      </w:pBdr>
    </w:pPr>
    <w:rPr>
      <w:sz w:val="18"/>
      <w:szCs w:val="18"/>
    </w:rPr>
  </w:style>
  <w:style w:type="paragraph" w:styleId="1257" w:customStyle="1">
    <w:name w:val="正文文本缩进 21"/>
    <w:basedOn w:val="944"/>
    <w:next w:val="1258"/>
    <w:uiPriority w:val="0"/>
    <w:qFormat/>
    <w:pPr>
      <w:ind w:firstLine="480"/>
    </w:pPr>
    <w:rPr>
      <w:rFonts w:ascii="仿宋_GB2312" w:eastAsia="仿宋_GB2312"/>
      <w:sz w:val="24"/>
    </w:rPr>
  </w:style>
  <w:style w:type="paragraph" w:styleId="1258" w:customStyle="1">
    <w:name w:val="日期1"/>
    <w:basedOn w:val="944"/>
    <w:next w:val="944"/>
    <w:uiPriority w:val="0"/>
    <w:qFormat/>
    <w:pPr>
      <w:ind w:left="100"/>
    </w:pPr>
    <w:rPr>
      <w:rFonts w:ascii="仿宋_GB2312" w:hAnsi="宋体" w:eastAsia="仿宋_GB2312"/>
      <w:color w:val="000000"/>
      <w:sz w:val="24"/>
    </w:rPr>
  </w:style>
  <w:style w:type="numbering" w:styleId="12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微软用户</dc:creator>
  <cp:lastModifiedBy>金健</cp:lastModifiedBy>
  <cp:revision>7</cp:revision>
  <dcterms:created xsi:type="dcterms:W3CDTF">2024-09-20T08:39:00Z</dcterms:created>
  <dcterms:modified xsi:type="dcterms:W3CDTF">2025-12-25T05:20:05Z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90E682B70D6443269E3C3B83A5E0141C_13</vt:lpwstr>
  </property>
  <property fmtid="{D5CDD505-2E9C-101B-9397-08002B2CF9AE}" pid="4" name="KSOTemplateDocerSaveRecord">
    <vt:lpwstr>eyJoZGlkIjoiMTBlYWVmYjgzZmQ4MjBjM2I5MzM2NjhkYjg5ZjY2OTQiLCJ1c2VySWQiOiI2MjcxNzYyMTAifQ==</vt:lpwstr>
  </property>
</Properties>
</file>